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21" w:rsidRDefault="00A06A4F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1 </w:t>
      </w:r>
    </w:p>
    <w:p w:rsidR="008D6C21" w:rsidRDefault="008D6C21">
      <w:pPr>
        <w:rPr>
          <w:sz w:val="24"/>
        </w:rPr>
      </w:pPr>
    </w:p>
    <w:p w:rsidR="008D6C21" w:rsidRDefault="008D6C21">
      <w:pPr>
        <w:spacing w:line="360" w:lineRule="auto"/>
        <w:rPr>
          <w:sz w:val="24"/>
        </w:rPr>
      </w:pPr>
    </w:p>
    <w:p w:rsidR="008D6C21" w:rsidRDefault="00A06A4F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8D6C21" w:rsidRDefault="00A06A4F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D33863" w:rsidRPr="00D33863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D33863" w:rsidRPr="00D33863">
        <w:rPr>
          <w:b/>
          <w:sz w:val="28"/>
        </w:rPr>
        <w:t>Dostawa spektrofotometru UV-Vis-NIR wraz z sondą zanurzeniową, Dostawa  zrobotyzowanego stanowiska dydaktycznego</w:t>
      </w:r>
      <w:r>
        <w:rPr>
          <w:b/>
          <w:sz w:val="28"/>
        </w:rPr>
        <w:t>”</w:t>
      </w:r>
    </w:p>
    <w:p w:rsidR="008D6C21" w:rsidRDefault="008D6C21">
      <w:pPr>
        <w:spacing w:line="360" w:lineRule="auto"/>
        <w:ind w:hanging="284"/>
        <w:rPr>
          <w:sz w:val="24"/>
        </w:rPr>
      </w:pPr>
    </w:p>
    <w:p w:rsidR="008D6C21" w:rsidRPr="00A06A4F" w:rsidRDefault="00A06A4F">
      <w:pPr>
        <w:spacing w:line="360" w:lineRule="auto"/>
        <w:ind w:hanging="284"/>
        <w:rPr>
          <w:b/>
          <w:sz w:val="24"/>
          <w:u w:val="single"/>
        </w:rPr>
      </w:pPr>
      <w:r w:rsidRPr="00A06A4F">
        <w:rPr>
          <w:b/>
          <w:sz w:val="24"/>
          <w:u w:val="single"/>
        </w:rPr>
        <w:t xml:space="preserve">Zadanie nr 1 </w:t>
      </w:r>
    </w:p>
    <w:p w:rsidR="00A06A4F" w:rsidRDefault="00A06A4F">
      <w:pPr>
        <w:spacing w:line="360" w:lineRule="auto"/>
        <w:ind w:hanging="284"/>
        <w:rPr>
          <w:b/>
          <w:sz w:val="24"/>
          <w:u w:val="single"/>
        </w:rPr>
      </w:pPr>
      <w:r w:rsidRPr="00A06A4F">
        <w:rPr>
          <w:b/>
          <w:sz w:val="24"/>
          <w:u w:val="single"/>
        </w:rPr>
        <w:t>Dostawa spektrofotometru UV-Vis-NIR wraz z sondą zanurzeniową</w:t>
      </w:r>
    </w:p>
    <w:p w:rsidR="00DE7AFD" w:rsidRDefault="00DE7AFD">
      <w:pPr>
        <w:spacing w:line="360" w:lineRule="auto"/>
        <w:ind w:hanging="284"/>
        <w:rPr>
          <w:b/>
          <w:sz w:val="24"/>
          <w:u w:val="single"/>
        </w:rPr>
      </w:pPr>
    </w:p>
    <w:p w:rsidR="00DE7AFD" w:rsidRDefault="00DE7AFD">
      <w:pPr>
        <w:spacing w:line="360" w:lineRule="auto"/>
        <w:ind w:hanging="284"/>
        <w:rPr>
          <w:b/>
          <w:sz w:val="24"/>
          <w:u w:val="single"/>
        </w:rPr>
      </w:pPr>
      <w:r>
        <w:rPr>
          <w:rFonts w:ascii="Tahoma" w:hAnsi="Tahoma" w:cs="Tahoma"/>
          <w:color w:val="272727"/>
          <w:sz w:val="18"/>
          <w:szCs w:val="18"/>
        </w:rPr>
        <w:t>Specyfikacja spektrofotometru: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 xml:space="preserve">1) Zakres pomiarowy: 190-1100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lub lepszy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2) Monochromator: Czerny-Turner </w:t>
      </w:r>
      <w:r>
        <w:rPr>
          <w:rFonts w:ascii="Tahoma" w:hAnsi="Tahoma" w:cs="Tahoma"/>
          <w:color w:val="272727"/>
          <w:sz w:val="18"/>
          <w:szCs w:val="18"/>
        </w:rPr>
        <w:br/>
        <w:t>3) Siatka dyfrakcyjna o wymiarach co najmniej 27 x 35 mm, liczba linii na mm:</w:t>
      </w:r>
      <w:r>
        <w:rPr>
          <w:rFonts w:ascii="Tahoma" w:hAnsi="Tahoma" w:cs="Tahoma"/>
          <w:color w:val="272727"/>
          <w:sz w:val="18"/>
          <w:szCs w:val="18"/>
        </w:rPr>
        <w:br/>
        <w:t>co najmniej 1200 linii/mm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4) Szerokość spektralna szczeliny 1.5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br/>
        <w:t>5) Wymagany poziom światła rozproszonego: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198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(12 g/L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KCl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) poniżej 0,188% T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220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(10 g/L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NaI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) poniżej 0.018%T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370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(50 mg/L NaNO2) poniżej 0,008%T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6) Dokładność długości fali ± 0.06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lub lepsza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7) Odtwarzalność długości fali ± 0.01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lub lepsza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8) Dokładność fotometryczna ±0,0007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Abs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lub lepsza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9) Stabilność fotometryczna 0,0005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Abs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/h lub lepsza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10) Zakres fotometryczny ±4,0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Abs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lub szerszy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11) Płaskość linii podstawowej 0,0004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Abs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lub lepsza</w:t>
      </w:r>
      <w:r>
        <w:rPr>
          <w:rFonts w:ascii="Tahoma" w:hAnsi="Tahoma" w:cs="Tahoma"/>
          <w:color w:val="272727"/>
          <w:sz w:val="18"/>
          <w:szCs w:val="18"/>
        </w:rPr>
        <w:br/>
        <w:t>12) Źródło światła: ksenonowa lampa błyskowa (emituje promieniowanie jedynie w trakcie wykonywania pomiaru)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13) Maksymalna szybkość skanowania 20 000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nm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/min lub większa z możliwością prowadzenia pomiaru przy mniejszej szybkości</w:t>
      </w:r>
      <w:r>
        <w:rPr>
          <w:rFonts w:ascii="Tahoma" w:hAnsi="Tahoma" w:cs="Tahoma"/>
          <w:color w:val="272727"/>
          <w:sz w:val="18"/>
          <w:szCs w:val="18"/>
        </w:rPr>
        <w:br/>
        <w:t>14) Możliwość pracy urządzenia przy otwartej komorze pomiarowej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15) Kwarcowa sonda zanurzeniowa przeznaczona do pracy w roztworach kwaśnych </w:t>
      </w:r>
      <w:r>
        <w:rPr>
          <w:rFonts w:ascii="Tahoma" w:hAnsi="Tahoma" w:cs="Tahoma"/>
          <w:color w:val="272727"/>
          <w:sz w:val="18"/>
          <w:szCs w:val="18"/>
        </w:rPr>
        <w:br/>
        <w:t>(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pH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= 1), długość drogi optycznej 10 mm</w:t>
      </w:r>
      <w:r>
        <w:rPr>
          <w:rFonts w:ascii="Tahoma" w:hAnsi="Tahoma" w:cs="Tahoma"/>
          <w:color w:val="272727"/>
          <w:sz w:val="18"/>
          <w:szCs w:val="18"/>
        </w:rPr>
        <w:br/>
        <w:t>16) dwie kuwety kwarcowe długość drogi optycznej 10 mm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Oprogramowanie wraz z zestawem komputerowym: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lastRenderedPageBreak/>
        <w:br/>
        <w:t>1)Zapewnia możliwość sterowania spektrofotometrem z poziomu komputera (m. in. wybór zakresu pomiarowego, typu pomiaru, szybkość skanowania) i analizę danych pomiarowych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2)Zapewnia możliwość pomiaru kinetyki reakcji chemicznych w czasie do 24 h z możliwością określenia interwału czasowego pomiędzy poszczególnymi widmami </w:t>
      </w:r>
      <w:r>
        <w:rPr>
          <w:rFonts w:ascii="Tahoma" w:hAnsi="Tahoma" w:cs="Tahoma"/>
          <w:color w:val="272727"/>
          <w:sz w:val="18"/>
          <w:szCs w:val="18"/>
        </w:rPr>
        <w:br/>
        <w:t>3)Zestaw komputerowy do obsługi spektrofotometru (pamięć RAM 4 GB lub większa, dysk twardy 500 GB lub większy, monitor, klawiatura, myszka) pracujący w systemie Windows 7 lub nowszy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Gwarancja 12 miesięcy, szkolenie na miejscu dostawy.</w:t>
      </w:r>
    </w:p>
    <w:p w:rsidR="00DE7AFD" w:rsidRPr="00A06A4F" w:rsidRDefault="00DE7AFD">
      <w:pPr>
        <w:spacing w:line="360" w:lineRule="auto"/>
        <w:ind w:hanging="284"/>
        <w:rPr>
          <w:b/>
          <w:sz w:val="24"/>
          <w:u w:val="single"/>
        </w:rPr>
      </w:pPr>
    </w:p>
    <w:p w:rsidR="00A06A4F" w:rsidRPr="00A06A4F" w:rsidRDefault="00A06A4F" w:rsidP="00A06A4F">
      <w:pPr>
        <w:spacing w:line="360" w:lineRule="auto"/>
        <w:ind w:hanging="284"/>
        <w:rPr>
          <w:b/>
          <w:sz w:val="24"/>
          <w:u w:val="single"/>
        </w:rPr>
      </w:pPr>
      <w:r w:rsidRPr="00A06A4F">
        <w:rPr>
          <w:b/>
          <w:sz w:val="24"/>
          <w:u w:val="single"/>
        </w:rPr>
        <w:t xml:space="preserve">Zadanie nr 2 </w:t>
      </w:r>
    </w:p>
    <w:p w:rsidR="00A06A4F" w:rsidRDefault="00A06A4F">
      <w:pPr>
        <w:spacing w:line="360" w:lineRule="auto"/>
        <w:ind w:hanging="284"/>
        <w:rPr>
          <w:b/>
          <w:sz w:val="24"/>
          <w:u w:val="single"/>
        </w:rPr>
      </w:pPr>
      <w:r w:rsidRPr="00A06A4F">
        <w:rPr>
          <w:b/>
          <w:sz w:val="24"/>
          <w:u w:val="single"/>
        </w:rPr>
        <w:t>Dostawa  zrobotyzowanego stanowiska dydaktycznego</w:t>
      </w:r>
    </w:p>
    <w:p w:rsidR="00620F9F" w:rsidRDefault="00620F9F">
      <w:pPr>
        <w:spacing w:line="360" w:lineRule="auto"/>
        <w:ind w:hanging="284"/>
        <w:rPr>
          <w:b/>
          <w:sz w:val="24"/>
          <w:u w:val="single"/>
        </w:rPr>
      </w:pPr>
    </w:p>
    <w:p w:rsidR="00620F9F" w:rsidRPr="00A06A4F" w:rsidRDefault="00620F9F">
      <w:pPr>
        <w:spacing w:line="360" w:lineRule="auto"/>
        <w:ind w:hanging="284"/>
        <w:rPr>
          <w:b/>
          <w:sz w:val="24"/>
          <w:u w:val="single"/>
        </w:rPr>
      </w:pPr>
      <w:r>
        <w:rPr>
          <w:rFonts w:ascii="Tahoma" w:hAnsi="Tahoma" w:cs="Tahoma"/>
          <w:color w:val="272727"/>
          <w:sz w:val="18"/>
          <w:szCs w:val="18"/>
        </w:rPr>
        <w:t>Robot przemysłowy w wersji edukacyjnej z dodatkowym osprzętem i oprogramowaniem symulacyjnym.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Parametry robota</w:t>
      </w:r>
      <w:r>
        <w:rPr>
          <w:rFonts w:ascii="Tahoma" w:hAnsi="Tahoma" w:cs="Tahoma"/>
          <w:color w:val="272727"/>
          <w:sz w:val="18"/>
          <w:szCs w:val="18"/>
        </w:rPr>
        <w:br/>
        <w:t>a) Zasięg co najmniej 500mm</w:t>
      </w:r>
      <w:r>
        <w:rPr>
          <w:rFonts w:ascii="Tahoma" w:hAnsi="Tahoma" w:cs="Tahoma"/>
          <w:color w:val="272727"/>
          <w:sz w:val="18"/>
          <w:szCs w:val="18"/>
        </w:rPr>
        <w:br/>
        <w:t>b) Robot sześcioosiowy</w:t>
      </w:r>
      <w:r>
        <w:rPr>
          <w:rFonts w:ascii="Tahoma" w:hAnsi="Tahoma" w:cs="Tahoma"/>
          <w:color w:val="272727"/>
          <w:sz w:val="18"/>
          <w:szCs w:val="18"/>
        </w:rPr>
        <w:br/>
        <w:t>c) Udźwig co najmniej 3kg</w:t>
      </w:r>
      <w:r>
        <w:rPr>
          <w:rFonts w:ascii="Tahoma" w:hAnsi="Tahoma" w:cs="Tahoma"/>
          <w:color w:val="272727"/>
          <w:sz w:val="18"/>
          <w:szCs w:val="18"/>
        </w:rPr>
        <w:br/>
        <w:t>d) Zasilanie jednofazowe 230V AC</w:t>
      </w:r>
      <w:r>
        <w:rPr>
          <w:rFonts w:ascii="Tahoma" w:hAnsi="Tahoma" w:cs="Tahoma"/>
          <w:color w:val="272727"/>
          <w:sz w:val="18"/>
          <w:szCs w:val="18"/>
        </w:rPr>
        <w:br/>
        <w:t>e) Chwytak elektryczny dwupalczasty</w:t>
      </w:r>
      <w:r>
        <w:rPr>
          <w:rFonts w:ascii="Tahoma" w:hAnsi="Tahoma" w:cs="Tahoma"/>
          <w:color w:val="272727"/>
          <w:sz w:val="18"/>
          <w:szCs w:val="18"/>
        </w:rPr>
        <w:br/>
        <w:t>f) Minimum 2 elektrozawory wbudowane w ramię robota</w:t>
      </w:r>
      <w:r>
        <w:rPr>
          <w:rFonts w:ascii="Tahoma" w:hAnsi="Tahoma" w:cs="Tahoma"/>
          <w:color w:val="272727"/>
          <w:sz w:val="18"/>
          <w:szCs w:val="18"/>
        </w:rPr>
        <w:br/>
        <w:t>g) Minimum 20 wejść/20wyjść cyfrowych</w:t>
      </w:r>
      <w:r>
        <w:rPr>
          <w:rFonts w:ascii="Tahoma" w:hAnsi="Tahoma" w:cs="Tahoma"/>
          <w:color w:val="272727"/>
          <w:sz w:val="18"/>
          <w:szCs w:val="18"/>
        </w:rPr>
        <w:br/>
        <w:t>h) Masa własna robota nie większa niż 25kg</w:t>
      </w:r>
      <w:r>
        <w:rPr>
          <w:rFonts w:ascii="Tahoma" w:hAnsi="Tahoma" w:cs="Tahoma"/>
          <w:color w:val="272727"/>
          <w:sz w:val="18"/>
          <w:szCs w:val="18"/>
        </w:rPr>
        <w:br/>
        <w:t>i) Stopień ochrony robota IP67</w:t>
      </w:r>
      <w:r>
        <w:rPr>
          <w:rFonts w:ascii="Tahoma" w:hAnsi="Tahoma" w:cs="Tahoma"/>
          <w:color w:val="272727"/>
          <w:sz w:val="18"/>
          <w:szCs w:val="18"/>
        </w:rPr>
        <w:br/>
        <w:t>j) Powtarzalność nie gorsza niż 0,03mm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Bezpieczeństwo</w:t>
      </w:r>
      <w:r>
        <w:rPr>
          <w:rFonts w:ascii="Tahoma" w:hAnsi="Tahoma" w:cs="Tahoma"/>
          <w:color w:val="272727"/>
          <w:sz w:val="18"/>
          <w:szCs w:val="18"/>
        </w:rPr>
        <w:br/>
        <w:t>a) System dwukanałowego monitorowania położenia i prędkości robota (tworzenia stref bezpiecznych) spełniający kat. 3, PL d wg ISO 13849-1</w:t>
      </w:r>
      <w:r>
        <w:rPr>
          <w:rFonts w:ascii="Tahoma" w:hAnsi="Tahoma" w:cs="Tahoma"/>
          <w:color w:val="272727"/>
          <w:sz w:val="18"/>
          <w:szCs w:val="18"/>
        </w:rPr>
        <w:br/>
        <w:t>b) Funkcja automatycznego wykrywania kolizji pomiędzy ramieniem robota a otoczeniem</w:t>
      </w:r>
      <w:r>
        <w:rPr>
          <w:rFonts w:ascii="Tahoma" w:hAnsi="Tahoma" w:cs="Tahoma"/>
          <w:color w:val="272727"/>
          <w:sz w:val="18"/>
          <w:szCs w:val="18"/>
        </w:rPr>
        <w:br/>
        <w:t>c) Konstrukcja aluminiowa do instalacji robota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System wizyjny</w:t>
      </w:r>
      <w:r>
        <w:rPr>
          <w:rFonts w:ascii="Tahoma" w:hAnsi="Tahoma" w:cs="Tahoma"/>
          <w:color w:val="272727"/>
          <w:sz w:val="18"/>
          <w:szCs w:val="18"/>
        </w:rPr>
        <w:br/>
        <w:t>a) System wizyjny zintegrowany na płycie głównej kontrolera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b) Możliwość konfiguracji systemu z poziomu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TeachPendanta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robota oraz komputera zewnętrznego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Protokoły komunikacyjne</w:t>
      </w:r>
      <w:r>
        <w:rPr>
          <w:rFonts w:ascii="Tahoma" w:hAnsi="Tahoma" w:cs="Tahoma"/>
          <w:color w:val="272727"/>
          <w:sz w:val="18"/>
          <w:szCs w:val="18"/>
        </w:rPr>
        <w:br/>
        <w:t>a) Możliwość przesyłania plików z komputera – wbudowany protokół FTP</w:t>
      </w:r>
      <w:r>
        <w:rPr>
          <w:rFonts w:ascii="Tahoma" w:hAnsi="Tahoma" w:cs="Tahoma"/>
          <w:color w:val="272727"/>
          <w:sz w:val="18"/>
          <w:szCs w:val="18"/>
        </w:rPr>
        <w:br/>
        <w:t>b) Funkcja automatycznego wysyłania wiadomości e-mail z robota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c) Możliwość zdalnego logowania się do kontrolera robota i obserwowania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TeachPendanta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z poziomu strony domowej robota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lastRenderedPageBreak/>
        <w:br/>
        <w:t>Oprogramowanie symulacyjne - licencja na 20 stanowisk</w:t>
      </w:r>
      <w:r>
        <w:rPr>
          <w:rFonts w:ascii="Tahoma" w:hAnsi="Tahoma" w:cs="Tahoma"/>
          <w:color w:val="272727"/>
          <w:sz w:val="18"/>
          <w:szCs w:val="18"/>
        </w:rPr>
        <w:br/>
        <w:t>a) Dedykowane oprogramowanie symulacyjne – możliwość programowania offline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Szkolenie</w:t>
      </w:r>
      <w:r>
        <w:rPr>
          <w:rFonts w:ascii="Tahoma" w:hAnsi="Tahoma" w:cs="Tahoma"/>
          <w:color w:val="272727"/>
          <w:sz w:val="18"/>
          <w:szCs w:val="18"/>
        </w:rPr>
        <w:br/>
        <w:t>a) Dwa vouchery na szkolenie z zakresu obsługi i programowania robota</w:t>
      </w:r>
      <w:r>
        <w:rPr>
          <w:rFonts w:ascii="Tahoma" w:hAnsi="Tahoma" w:cs="Tahoma"/>
          <w:color w:val="272727"/>
          <w:sz w:val="18"/>
          <w:szCs w:val="18"/>
        </w:rPr>
        <w:br/>
        <w:t>b) Co najmniej dwuletni okres ważności voucherów</w:t>
      </w:r>
      <w:bookmarkStart w:id="0" w:name="_GoBack"/>
      <w:bookmarkEnd w:id="0"/>
    </w:p>
    <w:sectPr w:rsidR="00620F9F" w:rsidRPr="00A06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7E" w:rsidRDefault="00D3467E">
      <w:r>
        <w:separator/>
      </w:r>
    </w:p>
  </w:endnote>
  <w:endnote w:type="continuationSeparator" w:id="0">
    <w:p w:rsidR="00D3467E" w:rsidRDefault="00D3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21" w:rsidRDefault="00A06A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6C21" w:rsidRDefault="008D6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21" w:rsidRDefault="008D6C2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D6C21" w:rsidRDefault="008D6C21">
    <w:pPr>
      <w:pStyle w:val="Stopka"/>
      <w:tabs>
        <w:tab w:val="clear" w:pos="4536"/>
      </w:tabs>
      <w:jc w:val="center"/>
    </w:pPr>
  </w:p>
  <w:p w:rsidR="008D6C21" w:rsidRDefault="00A06A4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20F9F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20F9F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21" w:rsidRDefault="008D6C2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D6C21" w:rsidRDefault="008D6C21">
    <w:pPr>
      <w:pStyle w:val="Stopka"/>
      <w:tabs>
        <w:tab w:val="clear" w:pos="4536"/>
      </w:tabs>
      <w:jc w:val="center"/>
    </w:pPr>
  </w:p>
  <w:p w:rsidR="008D6C21" w:rsidRDefault="00A06A4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346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7E" w:rsidRDefault="00D3467E">
      <w:r>
        <w:separator/>
      </w:r>
    </w:p>
  </w:footnote>
  <w:footnote w:type="continuationSeparator" w:id="0">
    <w:p w:rsidR="00D3467E" w:rsidRDefault="00D3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3" w:rsidRDefault="00D338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3" w:rsidRDefault="00D338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21" w:rsidRDefault="008D6C21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7E"/>
    <w:rsid w:val="00620F9F"/>
    <w:rsid w:val="008D6C21"/>
    <w:rsid w:val="00A06A4F"/>
    <w:rsid w:val="00D33863"/>
    <w:rsid w:val="00D3467E"/>
    <w:rsid w:val="00D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E767-49DF-42FC-B7FD-CFF131A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486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5</cp:revision>
  <cp:lastPrinted>2000-12-12T16:01:00Z</cp:lastPrinted>
  <dcterms:created xsi:type="dcterms:W3CDTF">2018-05-17T11:21:00Z</dcterms:created>
  <dcterms:modified xsi:type="dcterms:W3CDTF">2018-05-17T11:28:00Z</dcterms:modified>
</cp:coreProperties>
</file>