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AAF" w:rsidRDefault="00C15E55" w:rsidP="00C15E55">
      <w:pPr>
        <w:jc w:val="right"/>
      </w:pPr>
      <w:r>
        <w:t>Załącznik nr 1</w:t>
      </w:r>
    </w:p>
    <w:p w:rsidR="00C15E55" w:rsidRDefault="00C15E55" w:rsidP="00C15E55">
      <w:pPr>
        <w:jc w:val="right"/>
      </w:pPr>
    </w:p>
    <w:p w:rsidR="003009E1" w:rsidRPr="009A7CA0" w:rsidRDefault="003009E1" w:rsidP="003009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CA0">
        <w:rPr>
          <w:rFonts w:ascii="Times New Roman" w:hAnsi="Times New Roman" w:cs="Times New Roman"/>
          <w:b/>
          <w:sz w:val="28"/>
          <w:szCs w:val="28"/>
        </w:rPr>
        <w:t xml:space="preserve">Dostawa systemu pomiaru prędkości,  Dostawa generatora tranzystorowego wysokiej częstotliwości do topienia materiałów wysokotopliwych, </w:t>
      </w:r>
    </w:p>
    <w:p w:rsidR="003009E1" w:rsidRPr="009A7CA0" w:rsidRDefault="003009E1" w:rsidP="003009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CA0">
        <w:rPr>
          <w:rFonts w:ascii="Times New Roman" w:hAnsi="Times New Roman" w:cs="Times New Roman"/>
          <w:b/>
          <w:sz w:val="28"/>
          <w:szCs w:val="28"/>
        </w:rPr>
        <w:t>Dostawa kamery termowizyjnej, Dostawa laboratoryjnej suszarki próżniowej, Dostawa wyłącznika aparatury CVD.</w:t>
      </w:r>
    </w:p>
    <w:p w:rsidR="0066015B" w:rsidRPr="009A7CA0" w:rsidRDefault="0066015B" w:rsidP="0066015B">
      <w:pPr>
        <w:jc w:val="center"/>
        <w:rPr>
          <w:b/>
          <w:sz w:val="28"/>
          <w:szCs w:val="28"/>
        </w:rPr>
      </w:pPr>
      <w:r w:rsidRPr="009A7CA0">
        <w:rPr>
          <w:b/>
          <w:sz w:val="28"/>
          <w:szCs w:val="28"/>
        </w:rPr>
        <w:t>NA/O/</w:t>
      </w:r>
      <w:r w:rsidR="009A7CA0" w:rsidRPr="009A7CA0">
        <w:rPr>
          <w:b/>
          <w:sz w:val="28"/>
          <w:szCs w:val="28"/>
        </w:rPr>
        <w:t>236</w:t>
      </w:r>
      <w:r w:rsidRPr="009A7CA0">
        <w:rPr>
          <w:b/>
          <w:sz w:val="28"/>
          <w:szCs w:val="28"/>
        </w:rPr>
        <w:t>/2018</w:t>
      </w:r>
    </w:p>
    <w:p w:rsidR="0066015B" w:rsidRPr="0082156C" w:rsidRDefault="0066015B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1167A8" w:rsidRPr="0082156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E13BED" w:rsidRPr="0082156C" w:rsidRDefault="00E13BED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>Dostawa systemu pomiaru prędkości</w:t>
      </w:r>
    </w:p>
    <w:p w:rsidR="00675F2E" w:rsidRPr="0082156C" w:rsidRDefault="00675F2E" w:rsidP="0066015B">
      <w:pPr>
        <w:rPr>
          <w:rFonts w:ascii="Times New Roman" w:hAnsi="Times New Roman" w:cs="Times New Roman"/>
          <w:color w:val="272727"/>
          <w:sz w:val="24"/>
          <w:szCs w:val="24"/>
        </w:rPr>
      </w:pPr>
      <w:r w:rsidRPr="0082156C">
        <w:rPr>
          <w:rFonts w:ascii="Times New Roman" w:hAnsi="Times New Roman" w:cs="Times New Roman"/>
          <w:color w:val="272727"/>
          <w:sz w:val="24"/>
          <w:szCs w:val="24"/>
        </w:rPr>
        <w:t>System pomiaru prędkości na podstawie rejestracji czasu wraz z podstawowym wyposażeniem spełniającym następujące wymagania: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1. Mobilne urządzenia pomiarowe działające w technologii podczerwieni posiadające świadectwo wzorcowania parametru mierzonego ze znakiem PCA lub ILAC;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2. Rozdzielczość pomiarowa czasu nie mniejsza niż 10-3 s;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3. Możliwość ustawienia szerokości prześwitu bramki pomiarowej do 15 m (wymiar w świetle urządzeń pomiarowych pojedynczej bramki);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4. Maksymalny rozstaw bramek pomiarowych nie mniejszy niż 100 m;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5. Urządzenia wyposażone w akumulatory z możliwością doładowania w czasie pomiaru;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6. Możliwość komunikacji kablowej lub radiowej urządzeń z komputerem PC wyposażonym w oprogramowanie Windows 7 lub nowsze;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7. Temperatura pracy urządzeń w zakresie od -10 do +35 °C;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8. Gwarancja producenta na okres nie mniejszy, niż 1 rok;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9. Zestaw pomiarowy zawierający komplet urządzeń, statywów i okablowania umożliwiającego wykonanie pomiaru prędkości na odcinku nie mniejszym niż 100 m oraz oprogramowanie kompatybilne z systemem Windows 7 lub nowszym.</w:t>
      </w:r>
    </w:p>
    <w:p w:rsidR="00125A58" w:rsidRPr="0082156C" w:rsidRDefault="00125A58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66015B" w:rsidRPr="0082156C" w:rsidRDefault="0066015B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156F4B" w:rsidRPr="0082156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125A58" w:rsidRPr="0082156C" w:rsidRDefault="00125A58" w:rsidP="00125A5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>Dostawa generatora tranzystorowego wysokiej częstotliwości do topienia materiałów wysokotopliwych, topienia materiałów wysokotopliwych</w:t>
      </w:r>
    </w:p>
    <w:p w:rsidR="00F55BF9" w:rsidRPr="0082156C" w:rsidRDefault="00F55BF9" w:rsidP="00125A58">
      <w:pPr>
        <w:rPr>
          <w:rFonts w:ascii="Times New Roman" w:hAnsi="Times New Roman" w:cs="Times New Roman"/>
          <w:color w:val="272727"/>
          <w:sz w:val="24"/>
          <w:szCs w:val="24"/>
        </w:rPr>
      </w:pPr>
      <w:r w:rsidRPr="0082156C">
        <w:rPr>
          <w:rFonts w:ascii="Times New Roman" w:hAnsi="Times New Roman" w:cs="Times New Roman"/>
          <w:color w:val="272727"/>
          <w:sz w:val="24"/>
          <w:szCs w:val="24"/>
        </w:rPr>
        <w:t>Wykonanie generatora tranzystorowego wysokiej częstotliwości do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topienia materiałów wysokotopliwych np. żeliwo chromowe, stal manganowa itp.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Gwarancja min 12 miesięcy.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Urządzenie składa się z: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szafki z generatorem,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dwóch wzbudników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płyty przepustowej termoodpornej.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Generator pracować musi w układzie prostownikowym diodowym i wyposażony musi być w transformator separujący sieć zasilającą od obwodu wzbudnika. Sterowanie pracą generatorem odbywać się musi za pomocą mikroprocesora.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lastRenderedPageBreak/>
        <w:t>Dane techniczne: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1. maksymalna moc czynna min - 20kW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2. częstotliwość znamionowa - 120÷200Hz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3. napięcie wyjściowe - 150÷300V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4. napięcie zasilania - 3x400/230V, 50Hz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5. moc podłączeniowa - 28kVA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6. zużycie wody chłodzącej dla twej=15÷30C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7.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Δp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t>=0,3Mpa - 30l/min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sterowanie mocą generatora - cyfrowe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Urządzenie należny dostarczyć z: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Szafą generatora 1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kpl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Wzbudnikiem 2 szt.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Płyta przepustowa termoodporna 1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kpl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DTR 3 egz.</w:t>
      </w:r>
    </w:p>
    <w:p w:rsidR="00E5024F" w:rsidRPr="0082156C" w:rsidRDefault="00E5024F" w:rsidP="00125A58">
      <w:pPr>
        <w:rPr>
          <w:rFonts w:ascii="Times New Roman" w:hAnsi="Times New Roman" w:cs="Times New Roman"/>
          <w:b/>
          <w:sz w:val="24"/>
          <w:szCs w:val="24"/>
        </w:rPr>
      </w:pPr>
    </w:p>
    <w:p w:rsidR="0066015B" w:rsidRPr="0082156C" w:rsidRDefault="0066015B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156F4B" w:rsidRPr="0082156C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F55BF9" w:rsidRPr="0082156C" w:rsidRDefault="00F55BF9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>Dostawa kamery termowizyjnej</w:t>
      </w:r>
    </w:p>
    <w:p w:rsidR="0066015B" w:rsidRPr="0082156C" w:rsidRDefault="00F55BF9" w:rsidP="00F55BF9">
      <w:pPr>
        <w:rPr>
          <w:rFonts w:ascii="Times New Roman" w:hAnsi="Times New Roman" w:cs="Times New Roman"/>
          <w:b/>
          <w:sz w:val="24"/>
          <w:szCs w:val="24"/>
        </w:rPr>
      </w:pPr>
      <w:r w:rsidRPr="0082156C">
        <w:rPr>
          <w:rFonts w:ascii="Times New Roman" w:hAnsi="Times New Roman" w:cs="Times New Roman"/>
          <w:color w:val="272727"/>
          <w:sz w:val="24"/>
          <w:szCs w:val="24"/>
        </w:rPr>
        <w:t>Kamera termowizyjna o parametrach nie gorszych niż (możliwa odchyłka parametrów do 2%):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zakres pomiarowy: -30...+1200°C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dokładność: ±2°C lub ±2% mierz. wart.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obiektyw standardowy 30°x23°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częstotliwość odświeżania obrazu 33Hz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rozdzielczość obrazu 320x240 pikseli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czułość termiczna NETD&lt;30mK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minimalna ogniskowa 10cm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karta pamięci SD, 2GB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ręczna/automatyczna regulacja ostrości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- wbudowany aparat cyfrowy 3.1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Mpix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funkcja wykrywania najzimniejszego i najcieplejszego miejsca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izoterma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minimum/maksimum z danej powierzchni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zoom cyfrowy 1-3 stopniowy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moduł solarny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asystent obrazu panoramicznego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funkcja wykrywania miejsc pomiarowych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ekran dotykowy LCD 4,3"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wskaźnik laserowy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nagrywanie notatek głosowych - Bluetooth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temperatura pracy -15...+50°C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temperatura przechowywania -30...+60°C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pakiet w pełni radiometryczny pomiar wideo + nagrywanie sekwencyjne w kamerze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lastRenderedPageBreak/>
        <w:t>- oprogramowanie z możliwością generowania raportu po wykonaniu pomiaru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kabel USB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- akumulator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litowo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t>-jonowy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karta pamięci SD 2GB- zasilacz do ładowania akumulatora w kamerze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pas do noszenia kamery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wysokiej jakości, trwała walizka transportowa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funkcja umożliwiająca dwukrotne zwiększenie rozdzielczości obrazu termograficznego 320x240 pikseli na 640x480 pikseli</w:t>
      </w:r>
    </w:p>
    <w:p w:rsidR="0066015B" w:rsidRPr="0082156C" w:rsidRDefault="0066015B" w:rsidP="0082156C">
      <w:pPr>
        <w:rPr>
          <w:rFonts w:ascii="Times New Roman" w:hAnsi="Times New Roman" w:cs="Times New Roman"/>
          <w:b/>
          <w:sz w:val="24"/>
          <w:szCs w:val="24"/>
        </w:rPr>
      </w:pPr>
    </w:p>
    <w:p w:rsidR="0082156C" w:rsidRPr="0082156C" w:rsidRDefault="0082156C" w:rsidP="008215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>Zadanie częściowe nr 4</w:t>
      </w:r>
    </w:p>
    <w:p w:rsidR="0082156C" w:rsidRDefault="0082156C" w:rsidP="008215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6C2B">
        <w:rPr>
          <w:rFonts w:ascii="Times New Roman" w:hAnsi="Times New Roman" w:cs="Times New Roman"/>
          <w:b/>
          <w:sz w:val="24"/>
          <w:szCs w:val="24"/>
          <w:u w:val="single"/>
        </w:rPr>
        <w:t>Dostawa laboratoryjnej suszarki próżniowej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Suszarka laboratoryjna próżniowa: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pojemność: co najmniej 24 l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wymiary wewnętrzne ok: szerokość 30 cm x wysokość 27 cm x głębokość 30 cm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zakres temperatur [°C]: +10 powyżej temperatury otoczenia ...+250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materiał komory: stal nierdzewna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zaokrąglone rogi komory w celu łatwego czyszczenia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drzwi w komorze z oknem wizyjnym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liczba drzwi: 1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uszczelka z gumy silikonowej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ilość półek w komorze standardowo / maks.: 2/2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maksymalne obciążenie półki [kg]: 15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sterownik: cyfrowy z zewnętrznym wyświetlaczem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duży wyświetlacz cyfrowy i kontroler temperatury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stabilność temperatury [±°C]: 1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dokładność ustaw. temperatury [°C]: 0,1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alarm temperaturowy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maks. osiągana próżnia [</w:t>
      </w:r>
      <w:proofErr w:type="spellStart"/>
      <w:r w:rsidRPr="002F5290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Pr="002F5290">
        <w:rPr>
          <w:rFonts w:ascii="Times New Roman" w:hAnsi="Times New Roman" w:cs="Times New Roman"/>
          <w:sz w:val="24"/>
          <w:szCs w:val="24"/>
        </w:rPr>
        <w:t>]: &lt; 133 Pa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nastawa zegara - czasu pracy: 1 - 9999 min.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 xml:space="preserve">- zasilanie: 230 V, 50 </w:t>
      </w:r>
      <w:proofErr w:type="spellStart"/>
      <w:r w:rsidRPr="002F5290">
        <w:rPr>
          <w:rFonts w:ascii="Times New Roman" w:hAnsi="Times New Roman" w:cs="Times New Roman"/>
          <w:sz w:val="24"/>
          <w:szCs w:val="24"/>
        </w:rPr>
        <w:t>Hz</w:t>
      </w:r>
      <w:proofErr w:type="spellEnd"/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moc znamionowa [W]: 800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materiał obudowy: blacha ze stali walcowanej na zimno malowana proszkowo</w:t>
      </w:r>
    </w:p>
    <w:p w:rsidR="00616C2B" w:rsidRPr="002F5290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pokrycie farbą antyelektrostatyczną</w:t>
      </w:r>
    </w:p>
    <w:p w:rsidR="00616C2B" w:rsidRDefault="00616C2B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F5290">
        <w:rPr>
          <w:rFonts w:ascii="Times New Roman" w:hAnsi="Times New Roman" w:cs="Times New Roman"/>
          <w:sz w:val="24"/>
          <w:szCs w:val="24"/>
        </w:rPr>
        <w:t>- gwarancja: min. 12 miesięcy</w:t>
      </w:r>
    </w:p>
    <w:p w:rsidR="008B17E9" w:rsidRPr="002F5290" w:rsidRDefault="008B17E9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D793B" w:rsidRPr="0082156C" w:rsidRDefault="002D793B" w:rsidP="002D79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:rsidR="00616C2B" w:rsidRPr="00823EEB" w:rsidRDefault="00823EEB" w:rsidP="008215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EEB">
        <w:rPr>
          <w:rFonts w:ascii="Times New Roman" w:hAnsi="Times New Roman" w:cs="Times New Roman"/>
          <w:b/>
          <w:sz w:val="24"/>
          <w:szCs w:val="24"/>
          <w:u w:val="single"/>
        </w:rPr>
        <w:t>Dostawa wyłącznika aparatury CVD</w:t>
      </w:r>
    </w:p>
    <w:p w:rsidR="00823EEB" w:rsidRDefault="00823EEB" w:rsidP="00823EEB">
      <w:pPr>
        <w:spacing w:after="120"/>
        <w:jc w:val="both"/>
      </w:pPr>
      <w:r>
        <w:t>Wyłącznik zasilania wraz z akcesoriami przyłączeniowymi oraz przekaźnik bezpieczeństwa do urządzenia realizującego proces CVD.</w:t>
      </w:r>
    </w:p>
    <w:p w:rsidR="00823EEB" w:rsidRDefault="00823EEB" w:rsidP="00823EEB">
      <w:pPr>
        <w:spacing w:after="120"/>
        <w:jc w:val="both"/>
      </w:pPr>
      <w:r>
        <w:t xml:space="preserve">1. Wyłącznik </w:t>
      </w:r>
      <w:proofErr w:type="spellStart"/>
      <w:r>
        <w:t>Tmax</w:t>
      </w:r>
      <w:proofErr w:type="spellEnd"/>
      <w:r>
        <w:t xml:space="preserve"> T5N 630 PR221DS-I In=630 - </w:t>
      </w:r>
      <w:r>
        <w:rPr>
          <w:b/>
        </w:rPr>
        <w:t>szt. 1</w:t>
      </w:r>
    </w:p>
    <w:p w:rsidR="00823EEB" w:rsidRDefault="00823EEB" w:rsidP="00823EEB">
      <w:pPr>
        <w:spacing w:after="120"/>
        <w:jc w:val="both"/>
      </w:pPr>
      <w:r>
        <w:t xml:space="preserve">2. Zaciski </w:t>
      </w:r>
      <w:proofErr w:type="spellStart"/>
      <w:r>
        <w:t>Tmax</w:t>
      </w:r>
      <w:proofErr w:type="spellEnd"/>
      <w:r>
        <w:t xml:space="preserve"> Kit FC Cu 2x240mm2 T5 630 - zestaw zacisków </w:t>
      </w:r>
      <w:r>
        <w:rPr>
          <w:b/>
        </w:rPr>
        <w:t>(6 szt.)</w:t>
      </w:r>
    </w:p>
    <w:p w:rsidR="00823EEB" w:rsidRDefault="00823EEB" w:rsidP="00823EEB">
      <w:pPr>
        <w:spacing w:after="120"/>
        <w:jc w:val="both"/>
      </w:pPr>
      <w:r>
        <w:t xml:space="preserve">3. Rączka wyłącznika </w:t>
      </w:r>
      <w:proofErr w:type="spellStart"/>
      <w:r>
        <w:t>Tmax</w:t>
      </w:r>
      <w:proofErr w:type="spellEnd"/>
      <w:r>
        <w:t xml:space="preserve"> T4-T5 RHE napęd obrotowy przedłożony standardowy - </w:t>
      </w:r>
      <w:r>
        <w:rPr>
          <w:b/>
        </w:rPr>
        <w:t>szt. 1</w:t>
      </w:r>
    </w:p>
    <w:p w:rsidR="00823EEB" w:rsidRDefault="00823EEB" w:rsidP="00823EEB">
      <w:pPr>
        <w:spacing w:after="120"/>
        <w:jc w:val="both"/>
      </w:pPr>
      <w:r>
        <w:t xml:space="preserve">4. Przekaźnik bezpieczeństwa 3N/O 1N/C PNOZ X3 24VDC/24 - </w:t>
      </w:r>
      <w:r>
        <w:rPr>
          <w:b/>
        </w:rPr>
        <w:t>szt. 1</w:t>
      </w:r>
    </w:p>
    <w:p w:rsidR="00823EEB" w:rsidRPr="002F5290" w:rsidRDefault="00823EEB" w:rsidP="0082156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823EEB" w:rsidRPr="002F5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443BA"/>
    <w:multiLevelType w:val="multilevel"/>
    <w:tmpl w:val="123A8E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FD7"/>
    <w:rsid w:val="00027FD7"/>
    <w:rsid w:val="0005516F"/>
    <w:rsid w:val="001167A8"/>
    <w:rsid w:val="00125A58"/>
    <w:rsid w:val="00156F4B"/>
    <w:rsid w:val="00281B5B"/>
    <w:rsid w:val="002D793B"/>
    <w:rsid w:val="002F5290"/>
    <w:rsid w:val="003009E1"/>
    <w:rsid w:val="00373D53"/>
    <w:rsid w:val="005A721C"/>
    <w:rsid w:val="005F5CFE"/>
    <w:rsid w:val="00616C2B"/>
    <w:rsid w:val="0066015B"/>
    <w:rsid w:val="00675F2E"/>
    <w:rsid w:val="00710218"/>
    <w:rsid w:val="00810EFE"/>
    <w:rsid w:val="00813565"/>
    <w:rsid w:val="0082156C"/>
    <w:rsid w:val="00823EEB"/>
    <w:rsid w:val="00843289"/>
    <w:rsid w:val="008B17E9"/>
    <w:rsid w:val="008B35D0"/>
    <w:rsid w:val="009A7CA0"/>
    <w:rsid w:val="009B1E07"/>
    <w:rsid w:val="00B6404E"/>
    <w:rsid w:val="00C15E55"/>
    <w:rsid w:val="00DD1F58"/>
    <w:rsid w:val="00E02AAF"/>
    <w:rsid w:val="00E13BED"/>
    <w:rsid w:val="00E5024F"/>
    <w:rsid w:val="00E54735"/>
    <w:rsid w:val="00F5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950CD-8CDA-46DF-B1C7-E05255FA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DD1F58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0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14</cp:revision>
  <dcterms:created xsi:type="dcterms:W3CDTF">2018-07-26T07:37:00Z</dcterms:created>
  <dcterms:modified xsi:type="dcterms:W3CDTF">2018-07-31T06:34:00Z</dcterms:modified>
</cp:coreProperties>
</file>