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22D" w:rsidRPr="00E46582" w:rsidRDefault="00E46582" w:rsidP="00E46582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 SIWZ</w:t>
      </w:r>
    </w:p>
    <w:p w:rsidR="0007422D" w:rsidRDefault="0007422D">
      <w:pPr>
        <w:spacing w:line="360" w:lineRule="auto"/>
        <w:rPr>
          <w:sz w:val="24"/>
        </w:rPr>
      </w:pPr>
    </w:p>
    <w:p w:rsidR="0007422D" w:rsidRDefault="00CA52A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07422D" w:rsidRDefault="00CA52A3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686EB5" w:rsidRPr="00686EB5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686EB5" w:rsidRPr="00686EB5">
        <w:rPr>
          <w:b/>
          <w:sz w:val="28"/>
        </w:rPr>
        <w:t>Dostawa miernika jakości energii z wyposażeniem, Dostawa stabilizatora impedancji</w:t>
      </w:r>
      <w:r>
        <w:rPr>
          <w:b/>
          <w:sz w:val="28"/>
        </w:rPr>
        <w:t>”</w:t>
      </w:r>
    </w:p>
    <w:p w:rsidR="0007422D" w:rsidRDefault="0007422D">
      <w:pPr>
        <w:spacing w:line="360" w:lineRule="auto"/>
        <w:ind w:hanging="284"/>
        <w:rPr>
          <w:sz w:val="24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 xml:space="preserve">Zadanie nr </w:t>
      </w:r>
      <w:r w:rsidR="00FF4E79">
        <w:rPr>
          <w:b/>
          <w:sz w:val="24"/>
          <w:u w:val="single"/>
        </w:rPr>
        <w:t>1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miernika jakości energii z wyposażeniem</w:t>
      </w:r>
    </w:p>
    <w:p w:rsidR="00AF38E1" w:rsidRDefault="00FF03E0" w:rsidP="00AF38E1">
      <w:pPr>
        <w:numPr>
          <w:ilvl w:val="0"/>
          <w:numId w:val="1"/>
        </w:numPr>
        <w:spacing w:line="360" w:lineRule="auto"/>
        <w:rPr>
          <w:sz w:val="24"/>
        </w:rPr>
      </w:pPr>
      <w:r w:rsidRPr="00FF03E0">
        <w:rPr>
          <w:sz w:val="24"/>
        </w:rPr>
        <w:t xml:space="preserve">Parametry mierzone: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Napięcia L1, L2, L3, N-PE (pięć wejść pomiarowych),  – wartości średnie, minimalne i maksymalne, chwilowe w zakresie do 760 V, możliwość współpracy z przekładnikami napięciowymi,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Prądy L1, L2, L3, N (cztery wejścia pomiarowe) – wartości średnie, minimalne i maksymalne, chwilowe, pomiar prądu w zakresie do 3 </w:t>
      </w:r>
      <w:proofErr w:type="spellStart"/>
      <w:r w:rsidRPr="00FF03E0">
        <w:rPr>
          <w:sz w:val="24"/>
        </w:rPr>
        <w:t>kA</w:t>
      </w:r>
      <w:proofErr w:type="spellEnd"/>
      <w:r w:rsidRPr="00FF03E0">
        <w:rPr>
          <w:sz w:val="24"/>
        </w:rPr>
        <w:t xml:space="preserve"> (w zależności od użytych cęgów prądowych),możliwość współpracy z przekładnikami prądowymi,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Współczynniki szczytu dla prądu (CFI) i napięcia (CFU),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Częstotliwość w zakresie 40Hz – 70Hz,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Moc czynna (P), bierna (Q), odkształcenia (D), pozorna (S) wraz z określeniem charakteru mocy biernej (pojemnościowa, indukcyjna),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Energia czynna (E ), bierna (E ), pozorna (E ),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 mocy  PF (Power </w:t>
      </w:r>
      <w:proofErr w:type="spellStart"/>
      <w:r w:rsidRPr="00FF03E0">
        <w:rPr>
          <w:sz w:val="24"/>
        </w:rPr>
        <w:t>Factor</w:t>
      </w:r>
      <w:proofErr w:type="spellEnd"/>
      <w:r w:rsidRPr="00FF03E0">
        <w:rPr>
          <w:sz w:val="24"/>
        </w:rPr>
        <w:t xml:space="preserve">), </w:t>
      </w:r>
      <w:proofErr w:type="spellStart"/>
      <w:r w:rsidRPr="00FF03E0">
        <w:rPr>
          <w:sz w:val="24"/>
        </w:rPr>
        <w:t>cosφ</w:t>
      </w:r>
      <w:proofErr w:type="spellEnd"/>
      <w:r w:rsidRPr="00FF03E0">
        <w:rPr>
          <w:sz w:val="24"/>
        </w:rPr>
        <w:t xml:space="preserve">, </w:t>
      </w:r>
      <w:proofErr w:type="spellStart"/>
      <w:r w:rsidRPr="00FF03E0">
        <w:rPr>
          <w:sz w:val="24"/>
        </w:rPr>
        <w:t>tgφ</w:t>
      </w:r>
      <w:proofErr w:type="spellEnd"/>
      <w:r w:rsidRPr="00FF03E0">
        <w:rPr>
          <w:sz w:val="24"/>
        </w:rPr>
        <w:t xml:space="preserve">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 K (przeciążenie transformatora spowodowane harmonicznymi),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Harmoniczne do 50-tej w napięciu i prądzie,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</w:t>
      </w:r>
      <w:proofErr w:type="spellStart"/>
      <w:r w:rsidRPr="00FF03E0">
        <w:rPr>
          <w:sz w:val="24"/>
        </w:rPr>
        <w:t>Interharmoniczne</w:t>
      </w:r>
      <w:proofErr w:type="spellEnd"/>
      <w:r w:rsidRPr="00FF03E0">
        <w:rPr>
          <w:sz w:val="24"/>
        </w:rPr>
        <w:t xml:space="preserve">  mierzone jako grupy,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 zniekształceń harmonicznych THD dla prądu i napięcia,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Wskaźnik krótkookresowego (P ) oraz długookresowego (P ) migotania światła (spełnione wymogi EN 61000-4-15 klasa A),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Asymetria napięć (spełnione wymogi EN 61000-4-30 klasa A) i prądów,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Rejestracja zdarzeń dla prądu i napięcia wraz z oscylogramami (do 1 s) oraz wykresy RMS 10 ms z maksymalnym czasem rejestracji 30 s,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Rejestracja oscylogramów prądu i napięcia po każdym okresie uśredniania,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Rejestracja mocy według: Metoda </w:t>
      </w:r>
      <w:proofErr w:type="spellStart"/>
      <w:r w:rsidRPr="00FF03E0">
        <w:rPr>
          <w:sz w:val="24"/>
        </w:rPr>
        <w:t>Budeanu</w:t>
      </w:r>
      <w:proofErr w:type="spellEnd"/>
      <w:r w:rsidRPr="00FF03E0">
        <w:rPr>
          <w:sz w:val="24"/>
        </w:rPr>
        <w:t>, IEEE 1459,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lastRenderedPageBreak/>
        <w:t xml:space="preserve"> </w:t>
      </w:r>
      <w:r w:rsidRPr="00FF03E0">
        <w:rPr>
          <w:sz w:val="24"/>
        </w:rPr>
        <w:t xml:space="preserve"> Pomiar sygnałów sterujących do 3000 </w:t>
      </w:r>
      <w:proofErr w:type="spellStart"/>
      <w:r w:rsidRPr="00FF03E0">
        <w:rPr>
          <w:sz w:val="24"/>
        </w:rPr>
        <w:t>Hz</w:t>
      </w:r>
      <w:proofErr w:type="spellEnd"/>
      <w:r w:rsidRPr="00FF03E0">
        <w:rPr>
          <w:sz w:val="24"/>
        </w:rPr>
        <w:t xml:space="preserve">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Pomiar </w:t>
      </w:r>
      <w:proofErr w:type="spellStart"/>
      <w:r w:rsidRPr="00FF03E0">
        <w:rPr>
          <w:sz w:val="24"/>
        </w:rPr>
        <w:t>transjentów</w:t>
      </w:r>
      <w:proofErr w:type="spellEnd"/>
      <w:r w:rsidRPr="00FF03E0">
        <w:rPr>
          <w:sz w:val="24"/>
        </w:rPr>
        <w:t xml:space="preserve"> do ±6000 V z maksymalną częstotliwością próbkowania 10 MHz. Minimalny czas </w:t>
      </w:r>
      <w:proofErr w:type="spellStart"/>
      <w:r w:rsidRPr="00FF03E0">
        <w:rPr>
          <w:sz w:val="24"/>
        </w:rPr>
        <w:t>transjentu</w:t>
      </w:r>
      <w:proofErr w:type="spellEnd"/>
      <w:r w:rsidRPr="00FF03E0">
        <w:rPr>
          <w:sz w:val="24"/>
        </w:rPr>
        <w:t xml:space="preserve"> możliwy do zarejestrowania wynosi 650 </w:t>
      </w:r>
      <w:proofErr w:type="spellStart"/>
      <w:r w:rsidRPr="00FF03E0">
        <w:rPr>
          <w:sz w:val="24"/>
        </w:rPr>
        <w:t>ns</w:t>
      </w:r>
      <w:proofErr w:type="spellEnd"/>
      <w:r w:rsidRPr="00FF03E0">
        <w:rPr>
          <w:sz w:val="24"/>
        </w:rPr>
        <w:t xml:space="preserve"> </w:t>
      </w:r>
    </w:p>
    <w:p w:rsidR="00FF03E0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Rejestracja dualna ( rejestracja na zgodności z normą PN-EN 50160 lub rozporządzeniem i wg. ustawień użytkownika w tym samym czasie). </w:t>
      </w:r>
    </w:p>
    <w:p w:rsidR="0009151B" w:rsidRPr="00FF03E0" w:rsidRDefault="0009151B" w:rsidP="00AF38E1">
      <w:pPr>
        <w:spacing w:line="360" w:lineRule="auto"/>
        <w:ind w:left="76"/>
        <w:rPr>
          <w:sz w:val="24"/>
        </w:rPr>
      </w:pP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2. Analizator powinien: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A. być przystosowany do pracy w sieciach: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o częstotliwości znamionowej 50/60 </w:t>
      </w:r>
      <w:proofErr w:type="spellStart"/>
      <w:r w:rsidRPr="00FF03E0">
        <w:rPr>
          <w:sz w:val="24"/>
        </w:rPr>
        <w:t>Hz</w:t>
      </w:r>
      <w:proofErr w:type="spellEnd"/>
      <w:r w:rsidRPr="00FF03E0">
        <w:rPr>
          <w:sz w:val="24"/>
        </w:rPr>
        <w:t xml:space="preserve">. </w:t>
      </w:r>
      <w:r w:rsidRPr="00FF03E0">
        <w:rPr>
          <w:sz w:val="24"/>
        </w:rPr>
        <w:t xml:space="preserve"> o napięciach znamionowych: 64/110 V; 110/190 V; 115/200 V; 127/220 V; 220/380 V; 230/400 V; 240/415 V; 254/440 V; 290/500 V; 400/690 V, </w:t>
      </w:r>
    </w:p>
    <w:p w:rsid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> prądu stałego.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B. Obsługiwać następujące układy sieciowe: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jednofazowy,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dwufazowy ze wspólnym N,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trójfazowy gwiazda z i bez przewodu N, </w:t>
      </w:r>
    </w:p>
    <w:p w:rsidR="00FD187D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trójfazowy trójkąt,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DC.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3.  Narzędzia komunikacyjne, które powinien posiadać analizator jakości zasilania: 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Analizator posiadać musi moduły komunikacyjne GSM (GPRS) i </w:t>
      </w:r>
      <w:proofErr w:type="spellStart"/>
      <w:r w:rsidRPr="00FF03E0">
        <w:rPr>
          <w:sz w:val="24"/>
        </w:rPr>
        <w:t>Wi</w:t>
      </w:r>
      <w:proofErr w:type="spellEnd"/>
      <w:r w:rsidRPr="00FF03E0">
        <w:rPr>
          <w:sz w:val="24"/>
        </w:rPr>
        <w:t xml:space="preserve"> Fi oraz GPS. </w:t>
      </w:r>
    </w:p>
    <w:p w:rsidR="0009151B" w:rsidRDefault="0009151B" w:rsidP="00FF03E0">
      <w:pPr>
        <w:spacing w:line="360" w:lineRule="auto"/>
        <w:ind w:hanging="284"/>
        <w:rPr>
          <w:sz w:val="24"/>
        </w:rPr>
      </w:pP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  4. Inne wymogi 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A. Analizator powinien spełniać wymogi PN-EN 61000-7 (klasa A), </w:t>
      </w:r>
      <w:r w:rsidR="00FD187D">
        <w:rPr>
          <w:sz w:val="24"/>
        </w:rPr>
        <w:t>Wszystkie parametry rejestrowane są zgodne z klasą A normy PN-EN 61000-4-30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B. Analizator powinien mieć dwa źródła zasilania:  własne zasilanie bateryjne, oraz sieciowe napięcia przemiennego 230V .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C. W skład  analizatora powinien wchodzić: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tablet posiadający ekran dotykowy  minimum 10 cali   z zainstalowanym systemem operacyjnym Windows, 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stosowne oprogramowanie, obsługiwane przez systemem operacyjnym Windows, ułatwiające analizowanie i archiwizowanie danych pomiarowych,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przewód komunikacyjny USB, </w:t>
      </w:r>
    </w:p>
    <w:p w:rsidR="00FF03E0" w:rsidRPr="00FF03E0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lastRenderedPageBreak/>
        <w:t xml:space="preserve"> opakowanie transportowe typu plecak (pozwalający umieścić w nim analizator, tablet oraz wymagane akcesoria,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D. Analizator powinien mieć obudowę </w:t>
      </w:r>
      <w:proofErr w:type="spellStart"/>
      <w:r w:rsidRPr="00FF03E0">
        <w:rPr>
          <w:sz w:val="24"/>
        </w:rPr>
        <w:t>pyło</w:t>
      </w:r>
      <w:proofErr w:type="spellEnd"/>
      <w:r w:rsidRPr="00FF03E0">
        <w:rPr>
          <w:sz w:val="24"/>
        </w:rPr>
        <w:t xml:space="preserve"> i wodoszczelną  o stopniu ochrony min IP65, posiadającą uchwyt  lub uchwyty umożliwiające mocowanie analizatora na szynie DIN </w:t>
      </w:r>
      <w:r w:rsidR="00D450BE">
        <w:rPr>
          <w:sz w:val="24"/>
        </w:rPr>
        <w:t xml:space="preserve">i </w:t>
      </w:r>
      <w:r w:rsidRPr="00FF03E0">
        <w:rPr>
          <w:sz w:val="24"/>
        </w:rPr>
        <w:t xml:space="preserve">słupie energetycznym, </w:t>
      </w:r>
    </w:p>
    <w:p w:rsidR="00FF03E0" w:rsidRPr="00FF03E0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E. Instrukcja obsługi, karta gwarancyjna, świadectwo wzorcowania. 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 </w:t>
      </w:r>
    </w:p>
    <w:p w:rsidR="0009151B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5. Wyposażenie dodatkowe analizatora: </w:t>
      </w:r>
    </w:p>
    <w:p w:rsidR="0009151B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 twarda walizka na analizator , </w:t>
      </w:r>
    </w:p>
    <w:p w:rsidR="002042A0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 cęgi prądowe typu </w:t>
      </w:r>
      <w:proofErr w:type="spellStart"/>
      <w:r w:rsidRPr="00FF03E0">
        <w:rPr>
          <w:sz w:val="24"/>
        </w:rPr>
        <w:t>Dietz</w:t>
      </w:r>
      <w:proofErr w:type="spellEnd"/>
      <w:r w:rsidRPr="00FF03E0">
        <w:rPr>
          <w:sz w:val="24"/>
        </w:rPr>
        <w:t xml:space="preserve"> o minimalnym. prądzie pomiarowym10 </w:t>
      </w:r>
      <w:proofErr w:type="spellStart"/>
      <w:r w:rsidRPr="00FF03E0">
        <w:rPr>
          <w:sz w:val="24"/>
        </w:rPr>
        <w:t>mA</w:t>
      </w:r>
      <w:proofErr w:type="spellEnd"/>
      <w:r w:rsidRPr="00FF03E0">
        <w:rPr>
          <w:sz w:val="24"/>
        </w:rPr>
        <w:t xml:space="preserve"> i prądzie znamionowym 10 A  AC (4 </w:t>
      </w:r>
      <w:proofErr w:type="spellStart"/>
      <w:r w:rsidRPr="00FF03E0">
        <w:rPr>
          <w:sz w:val="24"/>
        </w:rPr>
        <w:t>szt</w:t>
      </w:r>
      <w:proofErr w:type="spellEnd"/>
      <w:r w:rsidRPr="00FF03E0">
        <w:rPr>
          <w:sz w:val="24"/>
        </w:rPr>
        <w:t xml:space="preserve">),  </w:t>
      </w:r>
    </w:p>
    <w:p w:rsidR="00FF03E0" w:rsidRPr="00FF03E0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 -antena GPS.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</w:p>
    <w:p w:rsidR="00FF03E0" w:rsidRPr="00423A74" w:rsidRDefault="00FF03E0" w:rsidP="00821D7A">
      <w:pPr>
        <w:spacing w:line="360" w:lineRule="auto"/>
        <w:ind w:hanging="284"/>
        <w:rPr>
          <w:b/>
          <w:sz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 xml:space="preserve">Zadanie nr </w:t>
      </w:r>
      <w:r w:rsidR="00FF4E79">
        <w:rPr>
          <w:b/>
          <w:sz w:val="24"/>
          <w:u w:val="single"/>
        </w:rPr>
        <w:t>2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stabilizatora impedancji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Stabilizator impedancji  - sztuczna sieć, jednofazowa, dwuprzewodowa 50µH  </w:t>
      </w:r>
      <w:r w:rsidR="00344281" w:rsidRPr="00134E94">
        <w:rPr>
          <w:sz w:val="24"/>
        </w:rPr>
        <w:t>||</w:t>
      </w:r>
      <w:r w:rsidR="00344281">
        <w:rPr>
          <w:sz w:val="24"/>
        </w:rPr>
        <w:t xml:space="preserve"> </w:t>
      </w:r>
      <w:r w:rsidRPr="00134E94">
        <w:rPr>
          <w:sz w:val="24"/>
        </w:rPr>
        <w:t xml:space="preserve">5Ω/16A – ilość 1szt.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Zakres częstotliwości pracy   9kHz ÷ 30MHz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Charakterystyka impedancji (50µH + 5Ω) || 50 Ω 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Obciążalność prądowa, ciągła </w:t>
      </w:r>
      <w:r w:rsidR="0035122E">
        <w:rPr>
          <w:sz w:val="24"/>
        </w:rPr>
        <w:t>m</w:t>
      </w:r>
      <w:r w:rsidRPr="00134E94">
        <w:rPr>
          <w:sz w:val="24"/>
        </w:rPr>
        <w:t xml:space="preserve">inimum 16A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Napięcie pracy po stronie badanego urządzenia 0-240 V AC, częstotliwość 50-60 </w:t>
      </w:r>
      <w:proofErr w:type="spellStart"/>
      <w:r w:rsidRPr="00134E94">
        <w:rPr>
          <w:sz w:val="24"/>
        </w:rPr>
        <w:t>Hz</w:t>
      </w:r>
      <w:proofErr w:type="spellEnd"/>
      <w:r w:rsidRPr="00134E94">
        <w:rPr>
          <w:sz w:val="24"/>
        </w:rPr>
        <w:t xml:space="preserve"> 0-50 V DC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Złącze do odbiornika 50 Ohm, N żeńskie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Złącze zasilania </w:t>
      </w:r>
      <w:r w:rsidRPr="003C76A8">
        <w:rPr>
          <w:sz w:val="24"/>
        </w:rPr>
        <w:t xml:space="preserve">badanego urządzenia </w:t>
      </w:r>
      <w:proofErr w:type="spellStart"/>
      <w:r w:rsidRPr="003C76A8">
        <w:rPr>
          <w:sz w:val="24"/>
        </w:rPr>
        <w:t>Schuko</w:t>
      </w:r>
      <w:proofErr w:type="spellEnd"/>
      <w:r w:rsidRPr="00134E94">
        <w:rPr>
          <w:sz w:val="24"/>
        </w:rPr>
        <w:t xml:space="preserve">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Inne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spełniająca standardy w zakresie budowy i procedury kalibracji  CISPR 16-1-2 </w:t>
      </w:r>
      <w:proofErr w:type="spellStart"/>
      <w:r w:rsidRPr="00134E94">
        <w:rPr>
          <w:sz w:val="24"/>
        </w:rPr>
        <w:t>Amd</w:t>
      </w:r>
      <w:proofErr w:type="spellEnd"/>
      <w:r w:rsidRPr="00134E94">
        <w:rPr>
          <w:sz w:val="24"/>
        </w:rPr>
        <w:t xml:space="preserve">. 2:2006, EN 55016-1-2, VDE 0876 and ANSI C63.4;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filtr górnoprzepustowy 150 kHz z możliwością włączenia / wyłączenia;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zdalne sterowanie (wybór fazy, sterowanie filtrem górnoprzepustowym) z poziomu odbiornika Rohde &amp;Schwarz model ESU i ESCI EMI;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tłumik 10 </w:t>
      </w:r>
      <w:proofErr w:type="spellStart"/>
      <w:r w:rsidRPr="00134E94">
        <w:rPr>
          <w:sz w:val="24"/>
        </w:rPr>
        <w:t>dB</w:t>
      </w:r>
      <w:proofErr w:type="spellEnd"/>
      <w:r w:rsidRPr="00134E94">
        <w:rPr>
          <w:sz w:val="24"/>
        </w:rPr>
        <w:t xml:space="preserve">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ogranicznik impulsów z możliwością włączenia / wyłączenia.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lastRenderedPageBreak/>
        <w:t xml:space="preserve">- specjalna listwa do przyłączenia </w:t>
      </w:r>
      <w:proofErr w:type="spellStart"/>
      <w:r w:rsidRPr="00134E94">
        <w:rPr>
          <w:sz w:val="24"/>
        </w:rPr>
        <w:t>niskoimpedancyjnego</w:t>
      </w:r>
      <w:proofErr w:type="spellEnd"/>
      <w:r w:rsidRPr="00134E94">
        <w:rPr>
          <w:sz w:val="24"/>
        </w:rPr>
        <w:t xml:space="preserve"> do masy odniesienia.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sztuczny operator 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>Wyposażenie dodatkowe</w:t>
      </w:r>
      <w:r w:rsidR="00045D77">
        <w:rPr>
          <w:sz w:val="24"/>
        </w:rPr>
        <w:t>:</w:t>
      </w:r>
      <w:r w:rsidRPr="00134E94">
        <w:rPr>
          <w:sz w:val="24"/>
        </w:rPr>
        <w:t xml:space="preserve">    </w:t>
      </w:r>
    </w:p>
    <w:p w:rsidR="00134E94" w:rsidRPr="00134E94" w:rsidRDefault="00045D77" w:rsidP="00045D77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 </w:t>
      </w:r>
      <w:r w:rsidR="00134E94" w:rsidRPr="00134E94">
        <w:rPr>
          <w:sz w:val="24"/>
        </w:rPr>
        <w:t>Wtyk 3PIN do portu zasilania sond RF – ilość 2 szt.  Przewód RF N-N – długość min 1m – ilość 1 szt.</w:t>
      </w:r>
    </w:p>
    <w:p w:rsidR="00134E94" w:rsidRPr="00423A74" w:rsidRDefault="00134E94" w:rsidP="005E5F0A">
      <w:pPr>
        <w:spacing w:line="360" w:lineRule="auto"/>
        <w:rPr>
          <w:b/>
          <w:sz w:val="24"/>
          <w:u w:val="single"/>
        </w:rPr>
      </w:pPr>
      <w:bookmarkStart w:id="0" w:name="_GoBack"/>
      <w:bookmarkEnd w:id="0"/>
    </w:p>
    <w:sectPr w:rsidR="00134E94" w:rsidRPr="00423A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DF6" w:rsidRDefault="00116DF6">
      <w:r>
        <w:separator/>
      </w:r>
    </w:p>
  </w:endnote>
  <w:endnote w:type="continuationSeparator" w:id="0">
    <w:p w:rsidR="00116DF6" w:rsidRDefault="00116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CA52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7422D" w:rsidRDefault="0007422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07422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7422D" w:rsidRDefault="0007422D">
    <w:pPr>
      <w:pStyle w:val="Stopka"/>
      <w:tabs>
        <w:tab w:val="clear" w:pos="4536"/>
      </w:tabs>
      <w:jc w:val="center"/>
    </w:pPr>
  </w:p>
  <w:p w:rsidR="0007422D" w:rsidRDefault="00CA52A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F4E79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F4E79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07422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7422D" w:rsidRDefault="0007422D">
    <w:pPr>
      <w:pStyle w:val="Stopka"/>
      <w:tabs>
        <w:tab w:val="clear" w:pos="4536"/>
      </w:tabs>
      <w:jc w:val="center"/>
    </w:pPr>
  </w:p>
  <w:p w:rsidR="0007422D" w:rsidRDefault="00CA52A3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7E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DF6" w:rsidRDefault="00116DF6">
      <w:r>
        <w:separator/>
      </w:r>
    </w:p>
  </w:footnote>
  <w:footnote w:type="continuationSeparator" w:id="0">
    <w:p w:rsidR="00116DF6" w:rsidRDefault="00116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EB5" w:rsidRDefault="00686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EB5" w:rsidRDefault="00686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07422D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9836AF"/>
    <w:multiLevelType w:val="hybridMultilevel"/>
    <w:tmpl w:val="E4BEED36"/>
    <w:lvl w:ilvl="0" w:tplc="A0DC8BC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ED"/>
    <w:rsid w:val="00045D77"/>
    <w:rsid w:val="0007422D"/>
    <w:rsid w:val="0009151B"/>
    <w:rsid w:val="00116DF6"/>
    <w:rsid w:val="00134E94"/>
    <w:rsid w:val="002042A0"/>
    <w:rsid w:val="002B2C96"/>
    <w:rsid w:val="002D7EED"/>
    <w:rsid w:val="0031750A"/>
    <w:rsid w:val="00344281"/>
    <w:rsid w:val="0035122E"/>
    <w:rsid w:val="003C76A8"/>
    <w:rsid w:val="00423A74"/>
    <w:rsid w:val="00503DC7"/>
    <w:rsid w:val="005E5F0A"/>
    <w:rsid w:val="00607E85"/>
    <w:rsid w:val="00630200"/>
    <w:rsid w:val="00686EB5"/>
    <w:rsid w:val="00821D7A"/>
    <w:rsid w:val="009603F7"/>
    <w:rsid w:val="00970B18"/>
    <w:rsid w:val="00AF05F8"/>
    <w:rsid w:val="00AF38E1"/>
    <w:rsid w:val="00B26BA9"/>
    <w:rsid w:val="00CA52A3"/>
    <w:rsid w:val="00D450BE"/>
    <w:rsid w:val="00E46582"/>
    <w:rsid w:val="00F8717A"/>
    <w:rsid w:val="00FD187D"/>
    <w:rsid w:val="00FF03E0"/>
    <w:rsid w:val="00FF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22DF3-425B-40EC-8568-67AC8CB5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663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4</cp:revision>
  <cp:lastPrinted>2000-12-12T16:01:00Z</cp:lastPrinted>
  <dcterms:created xsi:type="dcterms:W3CDTF">2018-06-18T12:36:00Z</dcterms:created>
  <dcterms:modified xsi:type="dcterms:W3CDTF">2018-07-30T09:39:00Z</dcterms:modified>
</cp:coreProperties>
</file>