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94" w:rsidRPr="00E26094" w:rsidRDefault="00E26094" w:rsidP="00E26094">
      <w:pPr>
        <w:pStyle w:val="Default"/>
        <w:jc w:val="right"/>
        <w:rPr>
          <w:b/>
          <w:bCs/>
          <w:sz w:val="20"/>
          <w:szCs w:val="20"/>
        </w:rPr>
      </w:pPr>
      <w:bookmarkStart w:id="0" w:name="_GoBack"/>
      <w:bookmarkEnd w:id="0"/>
      <w:r w:rsidRPr="00E26094">
        <w:rPr>
          <w:b/>
          <w:bCs/>
          <w:sz w:val="20"/>
          <w:szCs w:val="20"/>
        </w:rPr>
        <w:t xml:space="preserve">Załącznik nr </w:t>
      </w:r>
      <w:r w:rsidR="00C918F6">
        <w:rPr>
          <w:b/>
          <w:bCs/>
          <w:sz w:val="20"/>
          <w:szCs w:val="20"/>
        </w:rPr>
        <w:t>1</w:t>
      </w:r>
      <w:r w:rsidRPr="00E26094">
        <w:rPr>
          <w:b/>
          <w:bCs/>
          <w:sz w:val="20"/>
          <w:szCs w:val="20"/>
        </w:rPr>
        <w:t xml:space="preserve"> SIWZ</w:t>
      </w:r>
    </w:p>
    <w:p w:rsidR="00D846C4" w:rsidRDefault="004451FF" w:rsidP="00D846C4">
      <w:pPr>
        <w:pStyle w:val="Default"/>
        <w:rPr>
          <w:b/>
          <w:bCs/>
          <w:sz w:val="32"/>
          <w:szCs w:val="32"/>
        </w:rPr>
      </w:pPr>
      <w:r w:rsidRPr="00701A6B">
        <w:rPr>
          <w:b/>
          <w:bCs/>
          <w:sz w:val="32"/>
          <w:szCs w:val="32"/>
        </w:rPr>
        <w:t>OPIS PRZEDMIOTU ZAMÓWIENIA</w:t>
      </w:r>
    </w:p>
    <w:p w:rsidR="00BB6D3D" w:rsidRPr="00701A6B" w:rsidRDefault="00BB6D3D" w:rsidP="00D846C4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Termin realizacji zamówienia 17-31.12.2018</w:t>
      </w:r>
    </w:p>
    <w:p w:rsidR="00D846C4" w:rsidRPr="00AE0FBB" w:rsidRDefault="00D846C4" w:rsidP="00D846C4">
      <w:pPr>
        <w:pStyle w:val="Default"/>
      </w:pPr>
    </w:p>
    <w:p w:rsidR="00D846C4" w:rsidRPr="00701A6B" w:rsidRDefault="00D846C4" w:rsidP="00F70AC7">
      <w:pPr>
        <w:pStyle w:val="Default"/>
        <w:spacing w:line="360" w:lineRule="auto"/>
        <w:rPr>
          <w:sz w:val="32"/>
          <w:szCs w:val="32"/>
        </w:rPr>
      </w:pPr>
      <w:r w:rsidRPr="00701A6B">
        <w:rPr>
          <w:b/>
          <w:bCs/>
          <w:sz w:val="32"/>
          <w:szCs w:val="32"/>
        </w:rPr>
        <w:t>1. Prace remontowo-budowlane</w:t>
      </w:r>
    </w:p>
    <w:p w:rsidR="00D846C4" w:rsidRPr="00AE0FBB" w:rsidRDefault="00D846C4" w:rsidP="00342755">
      <w:pPr>
        <w:pStyle w:val="Default"/>
        <w:jc w:val="both"/>
      </w:pPr>
      <w:r w:rsidRPr="00AE0FBB">
        <w:t>Celem prac będzie demontaż</w:t>
      </w:r>
      <w:r w:rsidR="007C6D9B">
        <w:t xml:space="preserve"> </w:t>
      </w:r>
      <w:r w:rsidR="007C6D9B" w:rsidRPr="007C6D9B">
        <w:rPr>
          <w:b/>
        </w:rPr>
        <w:t>3</w:t>
      </w:r>
      <w:r w:rsidR="003A4993">
        <w:rPr>
          <w:b/>
        </w:rPr>
        <w:t xml:space="preserve"> </w:t>
      </w:r>
      <w:r w:rsidR="00C54D4F" w:rsidRPr="00580EE4">
        <w:rPr>
          <w:b/>
        </w:rPr>
        <w:t>szt.</w:t>
      </w:r>
      <w:r w:rsidR="00C54D4F">
        <w:t xml:space="preserve"> </w:t>
      </w:r>
      <w:r w:rsidRPr="001B3B28">
        <w:rPr>
          <w:b/>
        </w:rPr>
        <w:t>starych dygestoriów</w:t>
      </w:r>
      <w:r w:rsidRPr="00AE0FBB">
        <w:t xml:space="preserve"> oraz przygotowanie i wyremontowanie miejsc w obrębie</w:t>
      </w:r>
      <w:r w:rsidR="003A4993">
        <w:t xml:space="preserve"> </w:t>
      </w:r>
      <w:r w:rsidR="007C6D9B">
        <w:rPr>
          <w:b/>
        </w:rPr>
        <w:t>3</w:t>
      </w:r>
      <w:r w:rsidR="003A4993" w:rsidRPr="003A4993">
        <w:rPr>
          <w:b/>
        </w:rPr>
        <w:t xml:space="preserve"> szt</w:t>
      </w:r>
      <w:r w:rsidR="003A4993" w:rsidRPr="001B3B28">
        <w:rPr>
          <w:b/>
        </w:rPr>
        <w:t>.</w:t>
      </w:r>
      <w:r w:rsidRPr="001B3B28">
        <w:rPr>
          <w:b/>
        </w:rPr>
        <w:t xml:space="preserve"> nowych dygestoriów</w:t>
      </w:r>
      <w:r w:rsidR="003A4993">
        <w:t xml:space="preserve"> </w:t>
      </w:r>
      <w:r w:rsidRPr="00AE0FBB">
        <w:t xml:space="preserve">. </w:t>
      </w:r>
    </w:p>
    <w:p w:rsidR="00814A81" w:rsidRDefault="00814A81" w:rsidP="00342755">
      <w:pPr>
        <w:pStyle w:val="Default"/>
        <w:jc w:val="both"/>
      </w:pPr>
    </w:p>
    <w:p w:rsidR="00D846C4" w:rsidRPr="00F70AC7" w:rsidRDefault="00D846C4" w:rsidP="00342755">
      <w:pPr>
        <w:pStyle w:val="Default"/>
        <w:spacing w:after="240"/>
        <w:jc w:val="both"/>
        <w:rPr>
          <w:color w:val="FF0000"/>
        </w:rPr>
      </w:pPr>
      <w:r w:rsidRPr="00AE0FBB">
        <w:t xml:space="preserve">Zakres prac przewidziany </w:t>
      </w:r>
      <w:r w:rsidRPr="00580EE4">
        <w:rPr>
          <w:b/>
          <w:color w:val="auto"/>
          <w:u w:val="single"/>
        </w:rPr>
        <w:t>dla jednego dygestorium:</w:t>
      </w:r>
      <w:r w:rsidRPr="00C54D4F">
        <w:rPr>
          <w:color w:val="auto"/>
        </w:rPr>
        <w:t xml:space="preserve"> </w:t>
      </w:r>
    </w:p>
    <w:p w:rsidR="00D846C4" w:rsidRPr="00AE0FBB" w:rsidRDefault="00D846C4" w:rsidP="00342755">
      <w:pPr>
        <w:pStyle w:val="Default"/>
        <w:spacing w:after="158"/>
        <w:jc w:val="both"/>
      </w:pPr>
      <w:r>
        <w:rPr>
          <w:iCs/>
        </w:rPr>
        <w:t xml:space="preserve">- </w:t>
      </w:r>
      <w:r w:rsidR="007C16DE">
        <w:rPr>
          <w:b/>
          <w:iCs/>
        </w:rPr>
        <w:t>demontaż i UTYLIZACJA</w:t>
      </w:r>
      <w:r w:rsidRPr="007C16DE">
        <w:rPr>
          <w:b/>
          <w:iCs/>
        </w:rPr>
        <w:t xml:space="preserve"> starego dygestorium</w:t>
      </w:r>
      <w:r w:rsidR="003A4993">
        <w:rPr>
          <w:b/>
          <w:iCs/>
        </w:rPr>
        <w:t xml:space="preserve"> </w:t>
      </w:r>
    </w:p>
    <w:p w:rsidR="00D846C4" w:rsidRPr="00AE0FBB" w:rsidRDefault="00D846C4" w:rsidP="00342755">
      <w:pPr>
        <w:pStyle w:val="Default"/>
        <w:spacing w:after="158"/>
        <w:jc w:val="both"/>
      </w:pPr>
      <w:r>
        <w:rPr>
          <w:iCs/>
        </w:rPr>
        <w:t xml:space="preserve">- </w:t>
      </w:r>
      <w:r w:rsidRPr="00AE0FBB">
        <w:rPr>
          <w:iCs/>
        </w:rPr>
        <w:t>demontaż płytek podłogowych</w:t>
      </w:r>
    </w:p>
    <w:p w:rsidR="00D846C4" w:rsidRPr="00AE0FBB" w:rsidRDefault="00D846C4" w:rsidP="00342755">
      <w:pPr>
        <w:pStyle w:val="Default"/>
        <w:spacing w:after="158"/>
        <w:jc w:val="both"/>
      </w:pPr>
      <w:r>
        <w:rPr>
          <w:iCs/>
        </w:rPr>
        <w:t xml:space="preserve">- </w:t>
      </w:r>
      <w:r w:rsidR="00814FBC">
        <w:rPr>
          <w:iCs/>
        </w:rPr>
        <w:t>malowanie ścian</w:t>
      </w:r>
    </w:p>
    <w:p w:rsidR="00D846C4" w:rsidRPr="005917B0" w:rsidRDefault="00D846C4" w:rsidP="00342755">
      <w:pPr>
        <w:pStyle w:val="Default"/>
        <w:jc w:val="both"/>
        <w:rPr>
          <w:iCs/>
        </w:rPr>
      </w:pPr>
      <w:r>
        <w:rPr>
          <w:iCs/>
        </w:rPr>
        <w:t xml:space="preserve">- </w:t>
      </w:r>
      <w:r w:rsidRPr="00AE0FBB">
        <w:rPr>
          <w:iCs/>
        </w:rPr>
        <w:t>wymiana płytek podłogowych ok. 2 m</w:t>
      </w:r>
      <w:r w:rsidRPr="00580EE4">
        <w:rPr>
          <w:iCs/>
          <w:vertAlign w:val="superscript"/>
        </w:rPr>
        <w:t>2</w:t>
      </w:r>
    </w:p>
    <w:p w:rsidR="00D846C4" w:rsidRDefault="00D846C4" w:rsidP="00342755">
      <w:pPr>
        <w:pStyle w:val="Default"/>
        <w:jc w:val="both"/>
      </w:pPr>
    </w:p>
    <w:p w:rsidR="00D846C4" w:rsidRDefault="00D846C4" w:rsidP="00342755">
      <w:pPr>
        <w:pStyle w:val="Default"/>
        <w:spacing w:after="216"/>
        <w:jc w:val="both"/>
        <w:rPr>
          <w:iCs/>
        </w:rPr>
      </w:pPr>
      <w:r>
        <w:rPr>
          <w:iCs/>
        </w:rPr>
        <w:t xml:space="preserve">- </w:t>
      </w:r>
      <w:r w:rsidRPr="00ED6F6F">
        <w:rPr>
          <w:iCs/>
        </w:rPr>
        <w:t>doprowadzenie instalacji wodno - kanalizacyjnej pod nowo montowane dygestorium</w:t>
      </w:r>
      <w:r w:rsidR="001B3B28">
        <w:rPr>
          <w:iCs/>
        </w:rPr>
        <w:t>,</w:t>
      </w:r>
    </w:p>
    <w:p w:rsidR="00D846C4" w:rsidRPr="00ED6F6F" w:rsidRDefault="00D846C4" w:rsidP="00342755">
      <w:pPr>
        <w:pStyle w:val="Default"/>
        <w:spacing w:after="216"/>
        <w:jc w:val="both"/>
      </w:pPr>
      <w:r>
        <w:t xml:space="preserve">- </w:t>
      </w:r>
      <w:r w:rsidRPr="00ED6F6F">
        <w:rPr>
          <w:iCs/>
        </w:rPr>
        <w:t>doprowadzenie instalacji gazowe</w:t>
      </w:r>
      <w:r w:rsidR="001B3B28">
        <w:rPr>
          <w:iCs/>
        </w:rPr>
        <w:t>j pod nowo montowane dygestorium</w:t>
      </w:r>
      <w:r w:rsidR="009F47B0">
        <w:rPr>
          <w:iCs/>
        </w:rPr>
        <w:t xml:space="preserve"> </w:t>
      </w:r>
      <w:r w:rsidRPr="00ED6F6F">
        <w:rPr>
          <w:iCs/>
        </w:rPr>
        <w:t>oraz montaż zaworu odcinającego dopływ gazu</w:t>
      </w:r>
      <w:r w:rsidR="00FB01BD">
        <w:rPr>
          <w:iCs/>
        </w:rPr>
        <w:t xml:space="preserve"> w łatwo dostępnym miejscu</w:t>
      </w:r>
      <w:r w:rsidRPr="00ED6F6F">
        <w:rPr>
          <w:iCs/>
        </w:rPr>
        <w:t xml:space="preserve"> zgodnie </w:t>
      </w:r>
      <w:r w:rsidR="001B3B28">
        <w:rPr>
          <w:iCs/>
        </w:rPr>
        <w:t>z obowiązującymi przepisami,</w:t>
      </w:r>
    </w:p>
    <w:p w:rsidR="00D846C4" w:rsidRPr="00ED6F6F" w:rsidRDefault="00D846C4" w:rsidP="00342755">
      <w:pPr>
        <w:pStyle w:val="Default"/>
        <w:spacing w:after="216"/>
        <w:jc w:val="both"/>
      </w:pPr>
      <w:r>
        <w:rPr>
          <w:iCs/>
        </w:rPr>
        <w:t xml:space="preserve">- </w:t>
      </w:r>
      <w:r w:rsidRPr="00ED6F6F">
        <w:rPr>
          <w:iCs/>
        </w:rPr>
        <w:t xml:space="preserve">wymiana instalacji elektrycznej w obrębie nowo montowanego dygestorium, </w:t>
      </w:r>
    </w:p>
    <w:p w:rsidR="00D846C4" w:rsidRPr="009F47B0" w:rsidRDefault="00D846C4" w:rsidP="00342755">
      <w:pPr>
        <w:pStyle w:val="Default"/>
        <w:jc w:val="both"/>
        <w:rPr>
          <w:iCs/>
        </w:rPr>
      </w:pPr>
      <w:r>
        <w:rPr>
          <w:iCs/>
        </w:rPr>
        <w:t xml:space="preserve">- </w:t>
      </w:r>
      <w:r w:rsidRPr="00ED6F6F">
        <w:rPr>
          <w:iCs/>
        </w:rPr>
        <w:t>dostosowanie instalacji wyciągowej do montażu nowych dygest</w:t>
      </w:r>
      <w:r w:rsidR="0072009C">
        <w:rPr>
          <w:iCs/>
        </w:rPr>
        <w:t xml:space="preserve">oriów (zmiana rozstawu </w:t>
      </w:r>
      <w:r w:rsidR="008F6183">
        <w:rPr>
          <w:iCs/>
        </w:rPr>
        <w:t xml:space="preserve"> </w:t>
      </w:r>
      <w:r w:rsidR="00762D4C">
        <w:rPr>
          <w:iCs/>
        </w:rPr>
        <w:t xml:space="preserve">                      </w:t>
      </w:r>
      <w:r w:rsidR="0072009C">
        <w:rPr>
          <w:iCs/>
        </w:rPr>
        <w:t>i montaż</w:t>
      </w:r>
      <w:r w:rsidRPr="00ED6F6F">
        <w:rPr>
          <w:iCs/>
        </w:rPr>
        <w:t xml:space="preserve"> króćców przyłączeniowych</w:t>
      </w:r>
      <w:r w:rsidR="00814FBC">
        <w:rPr>
          <w:iCs/>
        </w:rPr>
        <w:t>)</w:t>
      </w:r>
      <w:r w:rsidRPr="00ED6F6F">
        <w:rPr>
          <w:iCs/>
        </w:rPr>
        <w:t xml:space="preserve">, </w:t>
      </w:r>
    </w:p>
    <w:p w:rsidR="00D846C4" w:rsidRDefault="00D846C4" w:rsidP="00342755">
      <w:pPr>
        <w:pStyle w:val="Default"/>
        <w:jc w:val="both"/>
        <w:rPr>
          <w:iCs/>
        </w:rPr>
      </w:pPr>
    </w:p>
    <w:p w:rsidR="00D846C4" w:rsidRDefault="00D846C4" w:rsidP="00342755">
      <w:pPr>
        <w:pStyle w:val="Default"/>
        <w:jc w:val="both"/>
        <w:rPr>
          <w:iCs/>
          <w:color w:val="auto"/>
        </w:rPr>
      </w:pPr>
      <w:r w:rsidRPr="009A668E">
        <w:rPr>
          <w:iCs/>
          <w:color w:val="auto"/>
        </w:rPr>
        <w:t>-montaż nowych dygestoriów</w:t>
      </w:r>
      <w:r w:rsidR="001E068D">
        <w:rPr>
          <w:iCs/>
          <w:color w:val="auto"/>
        </w:rPr>
        <w:t>,</w:t>
      </w:r>
      <w:r w:rsidRPr="009A668E">
        <w:rPr>
          <w:iCs/>
          <w:color w:val="auto"/>
        </w:rPr>
        <w:t xml:space="preserve"> prawidłowe uruchomienie urządzeń wraz z kalibracją.</w:t>
      </w:r>
    </w:p>
    <w:p w:rsidR="00D846C4" w:rsidRDefault="00D846C4" w:rsidP="00342755">
      <w:pPr>
        <w:pStyle w:val="Default"/>
        <w:jc w:val="both"/>
        <w:rPr>
          <w:iCs/>
          <w:color w:val="auto"/>
        </w:rPr>
      </w:pPr>
    </w:p>
    <w:p w:rsidR="00D846C4" w:rsidRDefault="00D846C4" w:rsidP="00342755">
      <w:pPr>
        <w:pStyle w:val="Default"/>
        <w:jc w:val="both"/>
        <w:rPr>
          <w:b/>
          <w:iCs/>
        </w:rPr>
      </w:pPr>
      <w:r w:rsidRPr="00ED6F6F">
        <w:rPr>
          <w:iCs/>
        </w:rPr>
        <w:t xml:space="preserve">Cena powinna zawierać wszystkie </w:t>
      </w:r>
      <w:r w:rsidR="00814A81" w:rsidRPr="00ED6F6F">
        <w:rPr>
          <w:iCs/>
        </w:rPr>
        <w:t xml:space="preserve">prace </w:t>
      </w:r>
      <w:r w:rsidRPr="00ED6F6F">
        <w:rPr>
          <w:iCs/>
        </w:rPr>
        <w:t xml:space="preserve">niezbędne do prawidłowego wykonania zadania. </w:t>
      </w:r>
      <w:r w:rsidRPr="0072009C">
        <w:rPr>
          <w:b/>
          <w:iCs/>
        </w:rPr>
        <w:t xml:space="preserve">Prace elektryczne i gazowe muszą być prowadzone przez osoby posiadające stosowne uprawnienia oraz zakończone protokołami. </w:t>
      </w:r>
    </w:p>
    <w:p w:rsidR="00D846C4" w:rsidRDefault="00D846C4" w:rsidP="00D846C4">
      <w:pPr>
        <w:pStyle w:val="Default"/>
      </w:pPr>
    </w:p>
    <w:p w:rsidR="005110A4" w:rsidRPr="00ED6F6F" w:rsidRDefault="005110A4" w:rsidP="00D846C4">
      <w:pPr>
        <w:pStyle w:val="Default"/>
      </w:pPr>
    </w:p>
    <w:p w:rsidR="00D846C4" w:rsidRPr="005110A4" w:rsidRDefault="00067C30" w:rsidP="00342755">
      <w:pPr>
        <w:pStyle w:val="Default"/>
        <w:jc w:val="both"/>
      </w:pPr>
      <w:r>
        <w:rPr>
          <w:b/>
          <w:bCs/>
        </w:rPr>
        <w:t xml:space="preserve">Wytyczne </w:t>
      </w:r>
      <w:r w:rsidR="000D0CD4">
        <w:rPr>
          <w:b/>
          <w:bCs/>
        </w:rPr>
        <w:t>szczegółowe</w:t>
      </w:r>
    </w:p>
    <w:p w:rsidR="005110A4" w:rsidRDefault="005110A4" w:rsidP="00342755">
      <w:pPr>
        <w:pStyle w:val="Default"/>
        <w:jc w:val="both"/>
        <w:rPr>
          <w:b/>
          <w:bCs/>
        </w:rPr>
      </w:pPr>
    </w:p>
    <w:p w:rsidR="00D846C4" w:rsidRPr="007041C0" w:rsidRDefault="00D846C4" w:rsidP="00342755">
      <w:pPr>
        <w:pStyle w:val="Default"/>
        <w:jc w:val="both"/>
      </w:pPr>
      <w:r w:rsidRPr="007041C0">
        <w:rPr>
          <w:b/>
          <w:bCs/>
        </w:rPr>
        <w:t xml:space="preserve">Płytki gresowe </w:t>
      </w:r>
    </w:p>
    <w:p w:rsidR="00D846C4" w:rsidRPr="007041C0" w:rsidRDefault="00BB6D3D" w:rsidP="00342755">
      <w:pPr>
        <w:pStyle w:val="Default"/>
        <w:jc w:val="both"/>
      </w:pPr>
      <w:r>
        <w:t>P</w:t>
      </w:r>
      <w:r w:rsidR="00D846C4" w:rsidRPr="007041C0">
        <w:t xml:space="preserve">łytki </w:t>
      </w:r>
      <w:r w:rsidR="00342F6E">
        <w:t>nie</w:t>
      </w:r>
      <w:r w:rsidR="00D846C4" w:rsidRPr="007041C0">
        <w:t>s</w:t>
      </w:r>
      <w:r w:rsidR="0072009C">
        <w:t>zkliwione, gresowe w kolorze wg</w:t>
      </w:r>
      <w:r w:rsidR="00D846C4" w:rsidRPr="007041C0">
        <w:t xml:space="preserve"> uzgodnień z użytkownikiem. Płytka po</w:t>
      </w:r>
      <w:r w:rsidR="0072009C">
        <w:t>dłogowa w formacie i kolorze wg</w:t>
      </w:r>
      <w:r w:rsidR="00D846C4" w:rsidRPr="007041C0">
        <w:t xml:space="preserve"> uzgodnień z użytkownikiem. Ścieralność kl. 4, antypoślizgowość </w:t>
      </w:r>
      <w:r w:rsidR="00D846C4" w:rsidRPr="006837EF">
        <w:t xml:space="preserve">R12. Wykonawca zobowiązany jest </w:t>
      </w:r>
      <w:r w:rsidR="00342755">
        <w:t>przedłożyć</w:t>
      </w:r>
      <w:r w:rsidR="0072009C">
        <w:t xml:space="preserve"> Zamawiającemu</w:t>
      </w:r>
      <w:r w:rsidR="00342755">
        <w:t xml:space="preserve"> przed podpisaniem umowy </w:t>
      </w:r>
      <w:r w:rsidR="00D846C4" w:rsidRPr="006837EF">
        <w:t>certyfikat dotyczący antypoślizgowości w</w:t>
      </w:r>
      <w:r w:rsidR="0072009C">
        <w:t xml:space="preserve"> oparciu o normę DIN 51130:2004,</w:t>
      </w:r>
      <w:r w:rsidR="00D846C4" w:rsidRPr="006837EF">
        <w:t xml:space="preserve"> deklarację zgodności oraz atest higieniczny wyrobu</w:t>
      </w:r>
      <w:r w:rsidR="00DE0723">
        <w:t>.</w:t>
      </w:r>
    </w:p>
    <w:p w:rsidR="00DE0723" w:rsidRDefault="00DE0723" w:rsidP="00342755">
      <w:pPr>
        <w:pStyle w:val="Default"/>
        <w:jc w:val="both"/>
        <w:rPr>
          <w:b/>
          <w:bCs/>
        </w:rPr>
      </w:pPr>
    </w:p>
    <w:p w:rsidR="00D846C4" w:rsidRPr="007041C0" w:rsidRDefault="00D846C4" w:rsidP="00342755">
      <w:pPr>
        <w:pStyle w:val="Default"/>
        <w:jc w:val="both"/>
      </w:pPr>
      <w:r w:rsidRPr="007041C0">
        <w:rPr>
          <w:b/>
          <w:bCs/>
        </w:rPr>
        <w:t xml:space="preserve">Farby ścienne </w:t>
      </w:r>
    </w:p>
    <w:p w:rsidR="00D846C4" w:rsidRPr="007041C0" w:rsidRDefault="00D846C4" w:rsidP="00342755">
      <w:pPr>
        <w:pStyle w:val="Default"/>
        <w:jc w:val="both"/>
      </w:pPr>
      <w:r w:rsidRPr="007041C0">
        <w:t>Emulsja lateksowa rozpuszczalna w wodzie o gęstości 1,5 g/cm</w:t>
      </w:r>
      <w:r w:rsidRPr="002B5597">
        <w:rPr>
          <w:vertAlign w:val="superscript"/>
        </w:rPr>
        <w:t>3</w:t>
      </w:r>
      <w:r w:rsidR="0072009C">
        <w:t>.</w:t>
      </w:r>
      <w:r w:rsidRPr="007041C0">
        <w:t xml:space="preserve"> </w:t>
      </w:r>
    </w:p>
    <w:p w:rsidR="00D846C4" w:rsidRPr="007041C0" w:rsidRDefault="00D846C4" w:rsidP="00342755">
      <w:pPr>
        <w:pStyle w:val="Default"/>
        <w:jc w:val="both"/>
      </w:pPr>
      <w:r w:rsidRPr="007041C0">
        <w:t>Kolor: biały mat. Substancja błonotwórcza: lateks styrenowo-akrylowy</w:t>
      </w:r>
      <w:r w:rsidR="0072009C">
        <w:t>.</w:t>
      </w:r>
      <w:r w:rsidRPr="007041C0">
        <w:t xml:space="preserve"> </w:t>
      </w:r>
    </w:p>
    <w:p w:rsidR="00D846C4" w:rsidRDefault="00D846C4" w:rsidP="00342755">
      <w:pPr>
        <w:pStyle w:val="Default"/>
        <w:jc w:val="both"/>
        <w:rPr>
          <w:b/>
          <w:bCs/>
        </w:rPr>
      </w:pPr>
    </w:p>
    <w:p w:rsidR="00D846C4" w:rsidRPr="007041C0" w:rsidRDefault="00D846C4" w:rsidP="00342755">
      <w:pPr>
        <w:pStyle w:val="Default"/>
        <w:jc w:val="both"/>
      </w:pPr>
      <w:r w:rsidRPr="007041C0">
        <w:rPr>
          <w:b/>
          <w:bCs/>
        </w:rPr>
        <w:lastRenderedPageBreak/>
        <w:t xml:space="preserve">Instalacja elektryczna </w:t>
      </w:r>
    </w:p>
    <w:p w:rsidR="00D846C4" w:rsidRPr="007041C0" w:rsidRDefault="00D846C4" w:rsidP="00337739">
      <w:pPr>
        <w:pStyle w:val="Default"/>
        <w:jc w:val="both"/>
      </w:pPr>
      <w:r w:rsidRPr="007041C0">
        <w:t>Za dygestorium powinien znajdować się przewód wyprowadzony z puszki do podłączenia prądu w dygestorium</w:t>
      </w:r>
      <w:r w:rsidR="001E39B9">
        <w:t>,</w:t>
      </w:r>
      <w:r w:rsidRPr="007041C0">
        <w:t xml:space="preserve"> mieszczący się w gabarytowych wymiarach dygestorium</w:t>
      </w:r>
      <w:r w:rsidR="001E39B9">
        <w:t>,</w:t>
      </w:r>
      <w:r w:rsidRPr="007041C0">
        <w:t xml:space="preserve"> na wysokości około 75 cm od posadzki najlepiej z lewej strony patrząc od czoła na dygestorium. Trasę przebiegu oraz miejsce wpięcia kabla należy uzgodnić z inwestorem. </w:t>
      </w:r>
    </w:p>
    <w:p w:rsidR="00D846C4" w:rsidRPr="007041C0" w:rsidRDefault="00D846C4" w:rsidP="00337739">
      <w:pPr>
        <w:pStyle w:val="Default"/>
        <w:jc w:val="both"/>
      </w:pPr>
    </w:p>
    <w:p w:rsidR="00D846C4" w:rsidRPr="007041C0" w:rsidRDefault="00D846C4" w:rsidP="00337739">
      <w:pPr>
        <w:pStyle w:val="Default"/>
        <w:jc w:val="both"/>
      </w:pPr>
      <w:r w:rsidRPr="007041C0">
        <w:rPr>
          <w:b/>
          <w:bCs/>
        </w:rPr>
        <w:t xml:space="preserve">Instalacja kanalizacyjna </w:t>
      </w:r>
    </w:p>
    <w:p w:rsidR="00D846C4" w:rsidRPr="007041C0" w:rsidRDefault="00D846C4" w:rsidP="00337739">
      <w:pPr>
        <w:pStyle w:val="Default"/>
        <w:jc w:val="both"/>
      </w:pPr>
      <w:r w:rsidRPr="007041C0">
        <w:t xml:space="preserve">Przy dygestorium wyjście kanalizacji z posadzki lub ze ściany mieszczące się w gabarytowych wymiarach mebla, zakończone rurą PP o średnicy 50 mm na wysokości około 20 - 25 cm od posadzki. </w:t>
      </w:r>
    </w:p>
    <w:p w:rsidR="00D846C4" w:rsidRPr="007041C0" w:rsidRDefault="00D846C4" w:rsidP="00337739">
      <w:pPr>
        <w:pStyle w:val="Default"/>
        <w:jc w:val="both"/>
      </w:pPr>
    </w:p>
    <w:p w:rsidR="00D846C4" w:rsidRPr="007041C0" w:rsidRDefault="00D846C4" w:rsidP="00337739">
      <w:pPr>
        <w:pStyle w:val="Default"/>
        <w:jc w:val="both"/>
      </w:pPr>
      <w:r w:rsidRPr="007041C0">
        <w:rPr>
          <w:b/>
          <w:bCs/>
        </w:rPr>
        <w:t>Instalacja wodna</w:t>
      </w:r>
    </w:p>
    <w:p w:rsidR="00D846C4" w:rsidRPr="007041C0" w:rsidRDefault="00D846C4" w:rsidP="00337739">
      <w:pPr>
        <w:pStyle w:val="Default"/>
        <w:jc w:val="both"/>
      </w:pPr>
      <w:r w:rsidRPr="007041C0">
        <w:t>W przypadku podłączenia dygestorium do instalacji wod</w:t>
      </w:r>
      <w:r w:rsidR="009A445E">
        <w:t>nej</w:t>
      </w:r>
      <w:r w:rsidRPr="007041C0">
        <w:t xml:space="preserve"> należy przewidzieć wyjście </w:t>
      </w:r>
      <w:r w:rsidR="00BB509E">
        <w:t xml:space="preserve">                         </w:t>
      </w:r>
      <w:r w:rsidRPr="007041C0">
        <w:t xml:space="preserve">z zaworem kulowym ½” na wysokości nie większej niż 50 – 60 cm od posadzki. </w:t>
      </w:r>
    </w:p>
    <w:p w:rsidR="00D846C4" w:rsidRPr="007041C0" w:rsidRDefault="00D846C4" w:rsidP="00337739">
      <w:pPr>
        <w:pStyle w:val="Default"/>
        <w:jc w:val="both"/>
      </w:pPr>
      <w:r w:rsidRPr="007041C0">
        <w:t xml:space="preserve">Instalację należy wykonać z PP zgrzewanego. </w:t>
      </w:r>
    </w:p>
    <w:p w:rsidR="00D846C4" w:rsidRPr="007041C0" w:rsidRDefault="00D846C4" w:rsidP="00337739">
      <w:pPr>
        <w:pStyle w:val="Default"/>
        <w:jc w:val="both"/>
      </w:pPr>
    </w:p>
    <w:p w:rsidR="00D846C4" w:rsidRPr="007041C0" w:rsidRDefault="00D846C4" w:rsidP="00337739">
      <w:pPr>
        <w:pStyle w:val="Default"/>
        <w:jc w:val="both"/>
      </w:pPr>
      <w:r>
        <w:rPr>
          <w:b/>
          <w:bCs/>
        </w:rPr>
        <w:t>Instalacja gazowa</w:t>
      </w:r>
      <w:r w:rsidRPr="007041C0">
        <w:rPr>
          <w:b/>
          <w:bCs/>
        </w:rPr>
        <w:t xml:space="preserve"> </w:t>
      </w:r>
    </w:p>
    <w:p w:rsidR="00D846C4" w:rsidRDefault="00D846C4" w:rsidP="00337739">
      <w:pPr>
        <w:pStyle w:val="Default"/>
        <w:jc w:val="both"/>
      </w:pPr>
      <w:r w:rsidRPr="007041C0">
        <w:t xml:space="preserve">Rury stalowe bez szwu, łączone przez spawanie. Rury muszą znajdować się powyżej przewodów elektrycznych, w odległości co najmniej 10 cm od najbliższego z nich. Odcinki pionowe instalacji gazowej muszą być oddalone od iskrzących urządzeń elektrycznych o co najmniej 60cm. Należy je prowadzić po ścianach i mocować do ścian specjalnymi obejmami. </w:t>
      </w:r>
      <w:r w:rsidR="00BB509E">
        <w:t>Zawór odcinający dopływ gazu ma być łatwo dostępny przez użytkownika.</w:t>
      </w:r>
    </w:p>
    <w:p w:rsidR="00067C30" w:rsidRDefault="00067C30" w:rsidP="005110A4">
      <w:pPr>
        <w:pStyle w:val="Default"/>
        <w:rPr>
          <w:rStyle w:val="Heading21"/>
          <w:rFonts w:ascii="Times New Roman" w:eastAsia="Times New Roman" w:hAnsi="Times New Roman" w:cs="Times New Roman"/>
          <w:b w:val="0"/>
          <w:bCs w:val="0"/>
          <w:sz w:val="24"/>
          <w:szCs w:val="24"/>
          <w:u w:val="none"/>
          <w:lang w:bidi="ar-SA"/>
        </w:rPr>
      </w:pPr>
    </w:p>
    <w:p w:rsidR="00067C30" w:rsidRPr="005110A4" w:rsidRDefault="00067C30" w:rsidP="00337739">
      <w:pPr>
        <w:pStyle w:val="Default"/>
        <w:jc w:val="both"/>
        <w:rPr>
          <w:rStyle w:val="Heading21"/>
          <w:rFonts w:ascii="Times New Roman" w:eastAsia="Times New Roman" w:hAnsi="Times New Roman" w:cs="Times New Roman"/>
          <w:b w:val="0"/>
          <w:bCs w:val="0"/>
          <w:sz w:val="24"/>
          <w:szCs w:val="24"/>
          <w:u w:val="none"/>
          <w:lang w:bidi="ar-SA"/>
        </w:rPr>
      </w:pPr>
    </w:p>
    <w:p w:rsidR="00C22D60" w:rsidRDefault="000D0CD4" w:rsidP="00337739">
      <w:pPr>
        <w:pStyle w:val="Heading20"/>
        <w:keepNext/>
        <w:keepLines/>
        <w:shd w:val="clear" w:color="auto" w:fill="auto"/>
        <w:rPr>
          <w:rStyle w:val="Heading21"/>
          <w:rFonts w:ascii="Times New Roman" w:hAnsi="Times New Roman" w:cs="Times New Roman"/>
          <w:b/>
          <w:bCs/>
          <w:sz w:val="32"/>
          <w:szCs w:val="32"/>
          <w:u w:val="none"/>
        </w:rPr>
      </w:pPr>
      <w:r w:rsidRPr="00701A6B">
        <w:rPr>
          <w:rStyle w:val="Heading21"/>
          <w:rFonts w:ascii="Times New Roman" w:hAnsi="Times New Roman" w:cs="Times New Roman"/>
          <w:b/>
          <w:bCs/>
          <w:sz w:val="32"/>
          <w:szCs w:val="32"/>
          <w:u w:val="none"/>
        </w:rPr>
        <w:t xml:space="preserve">2. </w:t>
      </w:r>
      <w:r w:rsidR="00E374E4" w:rsidRPr="00701A6B">
        <w:rPr>
          <w:rStyle w:val="Heading21"/>
          <w:rFonts w:ascii="Times New Roman" w:hAnsi="Times New Roman" w:cs="Times New Roman"/>
          <w:b/>
          <w:bCs/>
          <w:sz w:val="32"/>
          <w:szCs w:val="32"/>
          <w:u w:val="none"/>
        </w:rPr>
        <w:t xml:space="preserve">Dygestorium – </w:t>
      </w:r>
      <w:r w:rsidR="00275AEF">
        <w:rPr>
          <w:rStyle w:val="Heading21"/>
          <w:rFonts w:ascii="Times New Roman" w:hAnsi="Times New Roman" w:cs="Times New Roman"/>
          <w:b/>
          <w:bCs/>
          <w:sz w:val="32"/>
          <w:szCs w:val="32"/>
          <w:u w:val="none"/>
        </w:rPr>
        <w:t>3</w:t>
      </w:r>
      <w:r w:rsidR="00E374E4" w:rsidRPr="00701A6B">
        <w:rPr>
          <w:rStyle w:val="Heading21"/>
          <w:rFonts w:ascii="Times New Roman" w:hAnsi="Times New Roman" w:cs="Times New Roman"/>
          <w:b/>
          <w:bCs/>
          <w:sz w:val="32"/>
          <w:szCs w:val="32"/>
          <w:u w:val="none"/>
        </w:rPr>
        <w:t xml:space="preserve"> szt.</w:t>
      </w:r>
    </w:p>
    <w:p w:rsidR="009F028D" w:rsidRPr="00701A6B" w:rsidRDefault="009F028D" w:rsidP="00337739">
      <w:pPr>
        <w:pStyle w:val="Heading20"/>
        <w:keepNext/>
        <w:keepLines/>
        <w:shd w:val="clear" w:color="auto" w:fill="auto"/>
        <w:rPr>
          <w:rFonts w:ascii="Times New Roman" w:hAnsi="Times New Roman" w:cs="Times New Roman"/>
          <w:sz w:val="32"/>
          <w:szCs w:val="32"/>
        </w:rPr>
      </w:pPr>
    </w:p>
    <w:p w:rsidR="00C22D60" w:rsidRPr="0028519B" w:rsidRDefault="00E374E4" w:rsidP="00337739">
      <w:pPr>
        <w:pStyle w:val="Bodytext20"/>
        <w:shd w:val="clear" w:color="auto" w:fill="auto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Przedmiotem tej części zamówienia jest dostaw</w:t>
      </w:r>
      <w:r w:rsidR="00701A6B">
        <w:rPr>
          <w:rFonts w:ascii="Times New Roman" w:hAnsi="Times New Roman" w:cs="Times New Roman"/>
          <w:sz w:val="24"/>
          <w:szCs w:val="24"/>
        </w:rPr>
        <w:t>a</w:t>
      </w:r>
      <w:r w:rsidR="004819EF">
        <w:rPr>
          <w:rFonts w:ascii="Times New Roman" w:hAnsi="Times New Roman" w:cs="Times New Roman"/>
          <w:sz w:val="24"/>
          <w:szCs w:val="24"/>
        </w:rPr>
        <w:t xml:space="preserve"> </w:t>
      </w:r>
      <w:r w:rsidR="00CF7D2F">
        <w:rPr>
          <w:rFonts w:ascii="Times New Roman" w:hAnsi="Times New Roman" w:cs="Times New Roman"/>
          <w:sz w:val="24"/>
          <w:szCs w:val="24"/>
        </w:rPr>
        <w:t>3</w:t>
      </w:r>
      <w:r w:rsidR="004819EF">
        <w:rPr>
          <w:rFonts w:ascii="Times New Roman" w:hAnsi="Times New Roman" w:cs="Times New Roman"/>
          <w:sz w:val="24"/>
          <w:szCs w:val="24"/>
        </w:rPr>
        <w:t xml:space="preserve"> sztuk</w:t>
      </w:r>
      <w:r w:rsidR="00701A6B">
        <w:rPr>
          <w:rFonts w:ascii="Times New Roman" w:hAnsi="Times New Roman" w:cs="Times New Roman"/>
          <w:sz w:val="24"/>
          <w:szCs w:val="24"/>
        </w:rPr>
        <w:t xml:space="preserve"> fabrycznie nowych dygestoriów</w:t>
      </w:r>
      <w:r w:rsidRPr="0028519B">
        <w:rPr>
          <w:rFonts w:ascii="Times New Roman" w:hAnsi="Times New Roman" w:cs="Times New Roman"/>
          <w:sz w:val="24"/>
          <w:szCs w:val="24"/>
        </w:rPr>
        <w:t>, spełniających następujące wymagania techniczne:</w:t>
      </w:r>
    </w:p>
    <w:p w:rsidR="000D0CD4" w:rsidRDefault="000D0CD4" w:rsidP="00337739">
      <w:pPr>
        <w:pStyle w:val="Bodytext20"/>
        <w:shd w:val="clear" w:color="auto" w:fill="auto"/>
        <w:rPr>
          <w:rStyle w:val="Bodytext21"/>
          <w:rFonts w:ascii="Times New Roman" w:hAnsi="Times New Roman" w:cs="Times New Roman"/>
          <w:sz w:val="24"/>
          <w:szCs w:val="24"/>
          <w:u w:val="none"/>
        </w:rPr>
      </w:pPr>
    </w:p>
    <w:p w:rsidR="00C22D60" w:rsidRPr="000D0CD4" w:rsidRDefault="00E374E4" w:rsidP="00337739">
      <w:pPr>
        <w:pStyle w:val="Bodytext20"/>
        <w:shd w:val="clear" w:color="auto" w:fill="auto"/>
        <w:rPr>
          <w:rFonts w:ascii="Times New Roman" w:hAnsi="Times New Roman" w:cs="Times New Roman"/>
          <w:sz w:val="24"/>
          <w:szCs w:val="24"/>
        </w:rPr>
      </w:pPr>
      <w:r w:rsidRPr="000D0CD4">
        <w:rPr>
          <w:rStyle w:val="Bodytext21"/>
          <w:rFonts w:ascii="Times New Roman" w:hAnsi="Times New Roman" w:cs="Times New Roman"/>
          <w:sz w:val="24"/>
          <w:szCs w:val="24"/>
          <w:u w:val="none"/>
        </w:rPr>
        <w:t>Dygestorium:</w:t>
      </w:r>
    </w:p>
    <w:p w:rsidR="00C22D60" w:rsidRPr="0028519B" w:rsidRDefault="00E374E4" w:rsidP="00337739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ind w:left="400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szer.:1200 mm, +/- 5%</w:t>
      </w:r>
    </w:p>
    <w:p w:rsidR="00C22D60" w:rsidRPr="0028519B" w:rsidRDefault="00E374E4" w:rsidP="00337739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ind w:left="400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wys.: 2450 mm +/- 5%</w:t>
      </w:r>
    </w:p>
    <w:p w:rsidR="005110A4" w:rsidRDefault="00E374E4" w:rsidP="00337739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ind w:left="400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gł,: 912 mm </w:t>
      </w:r>
    </w:p>
    <w:p w:rsidR="00C22D60" w:rsidRPr="005110A4" w:rsidRDefault="00E374E4" w:rsidP="00337739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ind w:left="400"/>
        <w:rPr>
          <w:rFonts w:ascii="Times New Roman" w:hAnsi="Times New Roman" w:cs="Times New Roman"/>
          <w:sz w:val="24"/>
          <w:szCs w:val="24"/>
        </w:rPr>
      </w:pPr>
      <w:r w:rsidRPr="005110A4">
        <w:rPr>
          <w:rFonts w:ascii="Times New Roman" w:hAnsi="Times New Roman" w:cs="Times New Roman"/>
          <w:sz w:val="24"/>
          <w:szCs w:val="24"/>
        </w:rPr>
        <w:t>wys. blatu: 900 mm, media:</w:t>
      </w:r>
    </w:p>
    <w:p w:rsidR="00C22D60" w:rsidRPr="0028519B" w:rsidRDefault="00E374E4" w:rsidP="00337739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ind w:left="400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2 x zimna woda (zawór na listwie podblatowej wylewka w tylnej części komory roboczej);</w:t>
      </w:r>
    </w:p>
    <w:p w:rsidR="00C22D60" w:rsidRDefault="00E374E4" w:rsidP="00337739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ind w:left="400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1 x panel z dwoma gniazdkami elektrycznymi 230 V</w:t>
      </w:r>
      <w:r w:rsidR="0028519B">
        <w:rPr>
          <w:rFonts w:ascii="Times New Roman" w:hAnsi="Times New Roman" w:cs="Times New Roman"/>
          <w:sz w:val="24"/>
          <w:szCs w:val="24"/>
        </w:rPr>
        <w:t xml:space="preserve"> typu E</w:t>
      </w:r>
      <w:r w:rsidRPr="0028519B">
        <w:rPr>
          <w:rFonts w:ascii="Times New Roman" w:hAnsi="Times New Roman" w:cs="Times New Roman"/>
          <w:sz w:val="24"/>
          <w:szCs w:val="24"/>
        </w:rPr>
        <w:t xml:space="preserve"> (na listwie podblatowej);</w:t>
      </w:r>
    </w:p>
    <w:p w:rsidR="004819EF" w:rsidRDefault="004819EF" w:rsidP="00337739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ind w:left="4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1x zawór gazu (</w:t>
      </w:r>
      <w:r w:rsidRPr="0028519B">
        <w:rPr>
          <w:rFonts w:ascii="Times New Roman" w:hAnsi="Times New Roman" w:cs="Times New Roman"/>
          <w:sz w:val="24"/>
          <w:szCs w:val="24"/>
        </w:rPr>
        <w:t>zawór na listwie podblatowej wylewka w tylnej części komory roboczej)</w:t>
      </w:r>
      <w:r w:rsidR="006B40A3">
        <w:rPr>
          <w:rFonts w:ascii="Times New Roman" w:hAnsi="Times New Roman" w:cs="Times New Roman"/>
          <w:sz w:val="24"/>
          <w:szCs w:val="24"/>
        </w:rPr>
        <w:t>;</w:t>
      </w:r>
    </w:p>
    <w:p w:rsidR="005110A4" w:rsidRDefault="00E374E4" w:rsidP="00337739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ind w:left="400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lampa oświetlająca komorę robocza</w:t>
      </w:r>
      <w:r w:rsidR="006B40A3">
        <w:rPr>
          <w:rFonts w:ascii="Times New Roman" w:hAnsi="Times New Roman" w:cs="Times New Roman"/>
          <w:sz w:val="24"/>
          <w:szCs w:val="24"/>
        </w:rPr>
        <w:t>;</w:t>
      </w:r>
    </w:p>
    <w:p w:rsidR="00C22D60" w:rsidRPr="005110A4" w:rsidRDefault="00E374E4" w:rsidP="00337739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ind w:left="400"/>
        <w:rPr>
          <w:rFonts w:ascii="Times New Roman" w:hAnsi="Times New Roman" w:cs="Times New Roman"/>
          <w:sz w:val="24"/>
          <w:szCs w:val="24"/>
        </w:rPr>
      </w:pPr>
      <w:r w:rsidRPr="005110A4">
        <w:rPr>
          <w:rStyle w:val="Bodytext3NotBold"/>
          <w:rFonts w:ascii="Times New Roman" w:hAnsi="Times New Roman" w:cs="Times New Roman"/>
          <w:b w:val="0"/>
          <w:sz w:val="24"/>
          <w:szCs w:val="24"/>
        </w:rPr>
        <w:t>blat wykonany z ceramiki litej – lity spiek ceramiczny ze zintegrowanym podniesionym obrzeżem</w:t>
      </w:r>
      <w:r w:rsidRPr="005110A4">
        <w:rPr>
          <w:rFonts w:ascii="Times New Roman" w:hAnsi="Times New Roman" w:cs="Times New Roman"/>
          <w:sz w:val="24"/>
          <w:szCs w:val="24"/>
        </w:rPr>
        <w:t>.</w:t>
      </w:r>
    </w:p>
    <w:p w:rsidR="00C22D60" w:rsidRDefault="00457EC8">
      <w:pPr>
        <w:pStyle w:val="Bodytext20"/>
        <w:shd w:val="clear" w:color="auto" w:fill="auto"/>
        <w:spacing w:line="259" w:lineRule="exact"/>
        <w:rPr>
          <w:rFonts w:ascii="Times New Roman" w:hAnsi="Times New Roman" w:cs="Times New Roman"/>
          <w:b/>
          <w:sz w:val="24"/>
          <w:szCs w:val="24"/>
        </w:rPr>
      </w:pPr>
      <w:r w:rsidRPr="00457EC8">
        <w:rPr>
          <w:rFonts w:ascii="Times New Roman" w:hAnsi="Times New Roman" w:cs="Times New Roman"/>
          <w:b/>
          <w:sz w:val="24"/>
          <w:szCs w:val="24"/>
        </w:rPr>
        <w:t>Do</w:t>
      </w:r>
      <w:r w:rsidR="00275AEF">
        <w:rPr>
          <w:rFonts w:ascii="Times New Roman" w:hAnsi="Times New Roman" w:cs="Times New Roman"/>
          <w:b/>
          <w:sz w:val="24"/>
          <w:szCs w:val="24"/>
        </w:rPr>
        <w:t xml:space="preserve"> każdego dygestorium</w:t>
      </w:r>
      <w:r w:rsidRPr="00457EC8">
        <w:rPr>
          <w:rFonts w:ascii="Times New Roman" w:hAnsi="Times New Roman" w:cs="Times New Roman"/>
          <w:b/>
          <w:sz w:val="24"/>
          <w:szCs w:val="24"/>
        </w:rPr>
        <w:t xml:space="preserve"> należy dołączyć łatwo wyjmowaną kuwetę wykonaną z PP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457EC8">
        <w:rPr>
          <w:rFonts w:ascii="Times New Roman" w:hAnsi="Times New Roman" w:cs="Times New Roman"/>
          <w:b/>
          <w:sz w:val="24"/>
          <w:szCs w:val="24"/>
        </w:rPr>
        <w:t>o wielkości dostosowanej do maksymalnych wymiarów blatu</w:t>
      </w:r>
      <w:r w:rsidR="0041544D">
        <w:rPr>
          <w:rFonts w:ascii="Times New Roman" w:hAnsi="Times New Roman" w:cs="Times New Roman"/>
          <w:b/>
          <w:sz w:val="24"/>
          <w:szCs w:val="24"/>
        </w:rPr>
        <w:t xml:space="preserve"> dygestorium</w:t>
      </w:r>
      <w:r w:rsidRPr="00457EC8">
        <w:rPr>
          <w:rFonts w:ascii="Times New Roman" w:hAnsi="Times New Roman" w:cs="Times New Roman"/>
          <w:b/>
          <w:sz w:val="24"/>
          <w:szCs w:val="24"/>
        </w:rPr>
        <w:t>.</w:t>
      </w:r>
    </w:p>
    <w:p w:rsidR="0041544D" w:rsidRDefault="0041544D">
      <w:pPr>
        <w:pStyle w:val="Bodytext20"/>
        <w:shd w:val="clear" w:color="auto" w:fill="auto"/>
        <w:spacing w:line="259" w:lineRule="exact"/>
        <w:rPr>
          <w:rFonts w:ascii="Times New Roman" w:hAnsi="Times New Roman" w:cs="Times New Roman"/>
          <w:b/>
          <w:sz w:val="24"/>
          <w:szCs w:val="24"/>
        </w:rPr>
      </w:pPr>
    </w:p>
    <w:p w:rsidR="0041544D" w:rsidRPr="00457EC8" w:rsidRDefault="0041544D">
      <w:pPr>
        <w:pStyle w:val="Bodytext20"/>
        <w:shd w:val="clear" w:color="auto" w:fill="auto"/>
        <w:spacing w:line="259" w:lineRule="exact"/>
        <w:rPr>
          <w:rFonts w:ascii="Times New Roman" w:hAnsi="Times New Roman" w:cs="Times New Roman"/>
          <w:b/>
          <w:sz w:val="24"/>
          <w:szCs w:val="24"/>
        </w:rPr>
      </w:pPr>
    </w:p>
    <w:p w:rsidR="005110A4" w:rsidRPr="0028519B" w:rsidRDefault="005110A4">
      <w:pPr>
        <w:pStyle w:val="Bodytext2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</w:rPr>
      </w:pPr>
    </w:p>
    <w:p w:rsidR="00C22D60" w:rsidRDefault="00E374E4" w:rsidP="000D0CD4">
      <w:pPr>
        <w:pStyle w:val="Bodytext20"/>
        <w:shd w:val="clear" w:color="auto" w:fill="auto"/>
        <w:spacing w:line="259" w:lineRule="exact"/>
        <w:ind w:left="400"/>
        <w:rPr>
          <w:rFonts w:ascii="Times New Roman" w:hAnsi="Times New Roman" w:cs="Times New Roman"/>
          <w:b/>
          <w:sz w:val="24"/>
          <w:szCs w:val="24"/>
        </w:rPr>
      </w:pPr>
      <w:bookmarkStart w:id="1" w:name="bookmark1"/>
      <w:bookmarkEnd w:id="1"/>
      <w:r w:rsidRPr="0028519B">
        <w:rPr>
          <w:rFonts w:ascii="Times New Roman" w:hAnsi="Times New Roman" w:cs="Times New Roman"/>
          <w:b/>
          <w:sz w:val="24"/>
          <w:szCs w:val="24"/>
        </w:rPr>
        <w:t>Dygestorium - opis techniczny</w:t>
      </w:r>
    </w:p>
    <w:p w:rsidR="000D0CD4" w:rsidRPr="000D0CD4" w:rsidRDefault="000D0CD4" w:rsidP="000D0CD4">
      <w:pPr>
        <w:pStyle w:val="Bodytext20"/>
        <w:shd w:val="clear" w:color="auto" w:fill="auto"/>
        <w:spacing w:line="259" w:lineRule="exact"/>
        <w:ind w:left="400"/>
        <w:rPr>
          <w:rFonts w:ascii="Times New Roman" w:hAnsi="Times New Roman" w:cs="Times New Roman"/>
          <w:b/>
          <w:sz w:val="24"/>
          <w:szCs w:val="24"/>
        </w:rPr>
      </w:pPr>
    </w:p>
    <w:p w:rsidR="00C22D60" w:rsidRPr="0028519B" w:rsidRDefault="00E374E4">
      <w:pPr>
        <w:pStyle w:val="Bodytext20"/>
        <w:shd w:val="clear" w:color="auto" w:fill="auto"/>
        <w:spacing w:after="216"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lastRenderedPageBreak/>
        <w:t>Dygestorium musi być zgodne z poniższym opisem oraz wyposażane w media i opcje zgodnie ze szczegółową specyfikacją asortymentową.</w:t>
      </w:r>
    </w:p>
    <w:p w:rsidR="00C22D60" w:rsidRPr="0028519B" w:rsidRDefault="00E374E4">
      <w:pPr>
        <w:pStyle w:val="Heading20"/>
        <w:keepNext/>
        <w:keepLines/>
        <w:shd w:val="clear" w:color="auto" w:fill="auto"/>
        <w:spacing w:line="200" w:lineRule="exact"/>
        <w:rPr>
          <w:rFonts w:ascii="Times New Roman" w:hAnsi="Times New Roman" w:cs="Times New Roman"/>
          <w:sz w:val="24"/>
          <w:szCs w:val="24"/>
        </w:rPr>
      </w:pPr>
      <w:bookmarkStart w:id="2" w:name="bookmark2"/>
      <w:bookmarkEnd w:id="2"/>
      <w:r w:rsidRPr="0028519B">
        <w:rPr>
          <w:rFonts w:ascii="Times New Roman" w:hAnsi="Times New Roman" w:cs="Times New Roman"/>
          <w:sz w:val="24"/>
          <w:szCs w:val="24"/>
        </w:rPr>
        <w:t>Konstrukcja</w:t>
      </w:r>
    </w:p>
    <w:p w:rsidR="00C22D60" w:rsidRPr="0028519B" w:rsidRDefault="001E39B9">
      <w:pPr>
        <w:pStyle w:val="Bodytext20"/>
        <w:shd w:val="clear" w:color="auto" w:fill="auto"/>
        <w:spacing w:after="180" w:line="245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Dygestorium</w:t>
      </w:r>
      <w:r w:rsidR="00E374E4" w:rsidRPr="0028519B">
        <w:rPr>
          <w:rFonts w:ascii="Times New Roman" w:hAnsi="Times New Roman" w:cs="Times New Roman"/>
          <w:sz w:val="24"/>
          <w:szCs w:val="24"/>
        </w:rPr>
        <w:t xml:space="preserve"> musi być niepalne (za wyjątkiem szafki), łatwo zmywalne, nienasiąkliwe </w:t>
      </w:r>
      <w:r w:rsidR="00513E2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374E4" w:rsidRPr="0028519B">
        <w:rPr>
          <w:rFonts w:ascii="Times New Roman" w:hAnsi="Times New Roman" w:cs="Times New Roman"/>
          <w:sz w:val="24"/>
          <w:szCs w:val="24"/>
        </w:rPr>
        <w:t>i zabezpieczone galwanicznie przed korozją - wykonane w całości z blachy stalowej ocynkowanej.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Dygestorium musi składać się z części roboczej (zawierającej komorę roboczą z podwójnymi ścianami bocznymi) wraz z blatem, panele z mediami, okno przednie, system wentylacyjny, oświetlenie, elektroniczne systemy kontrolno-sterujące) oraz podstawy, w której można zamontować szafki.</w:t>
      </w:r>
    </w:p>
    <w:p w:rsidR="00C22D60" w:rsidRDefault="00C22D60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</w:p>
    <w:p w:rsidR="000D0CD4" w:rsidRPr="0028519B" w:rsidRDefault="000D0CD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</w:p>
    <w:p w:rsidR="00C22D60" w:rsidRPr="00CB6B64" w:rsidRDefault="00E374E4">
      <w:pPr>
        <w:pStyle w:val="Bodytext30"/>
        <w:shd w:val="clear" w:color="auto" w:fill="auto"/>
        <w:spacing w:line="245" w:lineRule="exact"/>
        <w:ind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6B64">
        <w:rPr>
          <w:rStyle w:val="Bodytext3NotBold"/>
          <w:rFonts w:ascii="Times New Roman" w:hAnsi="Times New Roman" w:cs="Times New Roman"/>
          <w:b/>
          <w:sz w:val="24"/>
          <w:szCs w:val="24"/>
          <w:u w:val="none"/>
        </w:rPr>
        <w:t xml:space="preserve">Cześć </w:t>
      </w:r>
      <w:r w:rsidRPr="00CB6B64">
        <w:rPr>
          <w:rFonts w:ascii="Times New Roman" w:hAnsi="Times New Roman" w:cs="Times New Roman"/>
          <w:sz w:val="24"/>
          <w:szCs w:val="24"/>
        </w:rPr>
        <w:t>robocza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Konstrukcja części roboczej, komora robocza i wszelkie elementy osłonowe oraz panele instalacyjne dygestorium muszą być wykonane w całości z blachy stalowej ocynkowanej, pokrytej lakierem epoksydowym.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Komora robocza wykonana jako samonośna, bez stelaża wewnętrznego. W celu unikania tworzenia miejsc gromadzenia się kurzu lub korozji, komora robocza bez dodatkowej ściany tylnej </w:t>
      </w:r>
      <w:r w:rsidR="00CC46E4">
        <w:rPr>
          <w:rFonts w:ascii="Times New Roman" w:hAnsi="Times New Roman" w:cs="Times New Roman"/>
          <w:sz w:val="24"/>
          <w:szCs w:val="24"/>
        </w:rPr>
        <w:t>(bez podwójnej ściany tylnej). W</w:t>
      </w:r>
      <w:r w:rsidRPr="0028519B">
        <w:rPr>
          <w:rFonts w:ascii="Times New Roman" w:hAnsi="Times New Roman" w:cs="Times New Roman"/>
          <w:sz w:val="24"/>
          <w:szCs w:val="24"/>
        </w:rPr>
        <w:t>entylacja komory roboczej musi być realizowana wyłącznie za pomocą szpar wentylacyjnych w części sufitowej. Nie dopuszcza się wentylowania k</w:t>
      </w:r>
      <w:r w:rsidR="00CC46E4">
        <w:rPr>
          <w:rFonts w:ascii="Times New Roman" w:hAnsi="Times New Roman" w:cs="Times New Roman"/>
          <w:sz w:val="24"/>
          <w:szCs w:val="24"/>
        </w:rPr>
        <w:t>omory dygestorium przez podwójną</w:t>
      </w:r>
      <w:r w:rsidRPr="0028519B">
        <w:rPr>
          <w:rFonts w:ascii="Times New Roman" w:hAnsi="Times New Roman" w:cs="Times New Roman"/>
          <w:sz w:val="24"/>
          <w:szCs w:val="24"/>
        </w:rPr>
        <w:t xml:space="preserve"> tylną ścianę, systemem szybrowym, dolnym kanałem </w:t>
      </w:r>
      <w:r w:rsidR="00CC46E4">
        <w:rPr>
          <w:rFonts w:ascii="Times New Roman" w:hAnsi="Times New Roman" w:cs="Times New Roman"/>
          <w:sz w:val="24"/>
          <w:szCs w:val="24"/>
        </w:rPr>
        <w:t>wentylacyjnym, itp.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Ściany boczne wewnętrzne i ściana tylna wewnętrzna wykonane z ceramiki technicznej wielkogabarytowej</w:t>
      </w:r>
      <w:r w:rsidR="00802879">
        <w:rPr>
          <w:rFonts w:ascii="Times New Roman" w:hAnsi="Times New Roman" w:cs="Times New Roman"/>
          <w:sz w:val="24"/>
          <w:szCs w:val="24"/>
        </w:rPr>
        <w:t xml:space="preserve"> o minimalnych wymiarach 120x120 cm</w:t>
      </w:r>
      <w:r w:rsidRPr="0028519B">
        <w:rPr>
          <w:rFonts w:ascii="Times New Roman" w:hAnsi="Times New Roman" w:cs="Times New Roman"/>
          <w:sz w:val="24"/>
          <w:szCs w:val="24"/>
        </w:rPr>
        <w:t>. W suficie komory roboczej zainstalowany króciec do podłączenia wentylacji o średnicy 200 mm, wykon</w:t>
      </w:r>
      <w:r w:rsidR="00CC46E4">
        <w:rPr>
          <w:rFonts w:ascii="Times New Roman" w:hAnsi="Times New Roman" w:cs="Times New Roman"/>
          <w:sz w:val="24"/>
          <w:szCs w:val="24"/>
        </w:rPr>
        <w:t>any z PP.</w:t>
      </w:r>
      <w:r w:rsidRPr="0028519B">
        <w:rPr>
          <w:rFonts w:ascii="Times New Roman" w:hAnsi="Times New Roman" w:cs="Times New Roman"/>
          <w:sz w:val="24"/>
          <w:szCs w:val="24"/>
        </w:rPr>
        <w:t xml:space="preserve"> Górna część dygestorium (dach) musi posiadać, zaślepione w normalnym stanie, otwory bezpieczeństwa pochłaniające energię rozprężania.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Komora robocza musi posiadać możliwość zainstalowania na tylnej ścianie stelaża chemicznego składającego się z 2 prętów poziomych oraz 2 prętów pionowych zamocowanych na dwóch szynach wykonanych z polipropylenu zbrojonego włóknem szklanym. 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Oświetlenie komory roboczej realizowane poprzez dwie świetlówki o mocy minimum 26 W każda, umieszczone poniżej sufitu komory roboczej (ponad oknem), i odizolowane od niej szczelną obudową. Światło z lampy musi być skierowane ukośnie do wnętrza komory roboczej.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Z przodu komory roboczej, na ścianach bocznych (przy oknie) oraz nad blatem umieszczone profile aerodynamiczne ze stali ocynkowanej lakierowanej proszkowo, poprawiające skutecz</w:t>
      </w:r>
      <w:r w:rsidR="007A15DE">
        <w:rPr>
          <w:rFonts w:ascii="Times New Roman" w:hAnsi="Times New Roman" w:cs="Times New Roman"/>
          <w:sz w:val="24"/>
          <w:szCs w:val="24"/>
        </w:rPr>
        <w:t>ność wentylacji komory roboczej (zapobiegające niekontrolowanemu cofaniu się strug powietrza).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Łączenie elementów</w:t>
      </w:r>
      <w:r w:rsidR="00CC46E4">
        <w:rPr>
          <w:rFonts w:ascii="Times New Roman" w:hAnsi="Times New Roman" w:cs="Times New Roman"/>
          <w:sz w:val="24"/>
          <w:szCs w:val="24"/>
        </w:rPr>
        <w:t>,</w:t>
      </w:r>
      <w:r w:rsidRPr="0028519B">
        <w:rPr>
          <w:rFonts w:ascii="Times New Roman" w:hAnsi="Times New Roman" w:cs="Times New Roman"/>
          <w:sz w:val="24"/>
          <w:szCs w:val="24"/>
        </w:rPr>
        <w:t xml:space="preserve"> zarówno nośnych jak i poszyciowych</w:t>
      </w:r>
      <w:r w:rsidR="00CC46E4">
        <w:rPr>
          <w:rFonts w:ascii="Times New Roman" w:hAnsi="Times New Roman" w:cs="Times New Roman"/>
          <w:sz w:val="24"/>
          <w:szCs w:val="24"/>
        </w:rPr>
        <w:t>,</w:t>
      </w:r>
      <w:r w:rsidRPr="0028519B">
        <w:rPr>
          <w:rFonts w:ascii="Times New Roman" w:hAnsi="Times New Roman" w:cs="Times New Roman"/>
          <w:sz w:val="24"/>
          <w:szCs w:val="24"/>
        </w:rPr>
        <w:t xml:space="preserve"> realizowane jest wyłącznie za pomocą połączeń śrubowych, z wykorzystaniem nitonakrętek, elementów gwintowanych lub specjalnie przygotowanych do tego otworów gwintowanych. Miejsca połączeń są umiejscowione tak, aby nie były one widoczne zarówno od czoła jak i po bokach dygestorium</w:t>
      </w:r>
    </w:p>
    <w:p w:rsidR="00C22D60" w:rsidRPr="0028519B" w:rsidRDefault="00C22D60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</w:p>
    <w:p w:rsidR="00C22D60" w:rsidRPr="0028519B" w:rsidRDefault="00E374E4">
      <w:pPr>
        <w:pStyle w:val="Heading20"/>
        <w:keepNext/>
        <w:keepLines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bookmarkStart w:id="3" w:name="bookmark4"/>
      <w:bookmarkEnd w:id="3"/>
      <w:r w:rsidRPr="0028519B">
        <w:rPr>
          <w:rFonts w:ascii="Times New Roman" w:hAnsi="Times New Roman" w:cs="Times New Roman"/>
          <w:sz w:val="24"/>
          <w:szCs w:val="24"/>
        </w:rPr>
        <w:t>Wymiary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Wymiary zewnętrzne dygestorium: szer. 1200 mm, wys. 2450 mm, głębokość nie większa niż 920 mm.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Szerokość komory roboczej mierzona w połowie głęb</w:t>
      </w:r>
      <w:r w:rsidR="00CC46E4">
        <w:rPr>
          <w:rFonts w:ascii="Times New Roman" w:hAnsi="Times New Roman" w:cs="Times New Roman"/>
          <w:sz w:val="24"/>
          <w:szCs w:val="24"/>
        </w:rPr>
        <w:t>okości komory: nie mniejsza niż</w:t>
      </w:r>
      <w:r w:rsidRPr="0028519B">
        <w:rPr>
          <w:rFonts w:ascii="Times New Roman" w:hAnsi="Times New Roman" w:cs="Times New Roman"/>
          <w:sz w:val="24"/>
          <w:szCs w:val="24"/>
        </w:rPr>
        <w:t xml:space="preserve"> 1149 mm dla dygestorium 1200 mm.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Wysokość komory roboczej mierzona od blatu do poziomego sufitu: nie mniej niż 1200 mm.</w:t>
      </w:r>
    </w:p>
    <w:p w:rsidR="00C22D60" w:rsidRPr="0028519B" w:rsidRDefault="00E374E4">
      <w:pPr>
        <w:pStyle w:val="Bodytext20"/>
        <w:shd w:val="clear" w:color="auto" w:fill="auto"/>
        <w:spacing w:after="180"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Głębokość komory roboczej mierzona od wewnętrznej krawędzi dolnej ramy okna do tylnej ściany komory: nie mniejsza niż 750 mm.</w:t>
      </w:r>
    </w:p>
    <w:p w:rsidR="00C22D60" w:rsidRPr="0028519B" w:rsidRDefault="00E374E4">
      <w:pPr>
        <w:pStyle w:val="Heading20"/>
        <w:keepNext/>
        <w:keepLines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bookmarkStart w:id="4" w:name="bookmark5"/>
      <w:bookmarkEnd w:id="4"/>
      <w:r w:rsidRPr="0028519B">
        <w:rPr>
          <w:rFonts w:ascii="Times New Roman" w:hAnsi="Times New Roman" w:cs="Times New Roman"/>
          <w:sz w:val="24"/>
          <w:szCs w:val="24"/>
        </w:rPr>
        <w:lastRenderedPageBreak/>
        <w:t>Okno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Okno dygestorium w pojedynczej ramie wykonanej ze stali ocynkowanej malowanej epoksydowo, przeszklone szybami</w:t>
      </w:r>
      <w:r w:rsidR="0028519B">
        <w:rPr>
          <w:rFonts w:ascii="Times New Roman" w:hAnsi="Times New Roman" w:cs="Times New Roman"/>
          <w:sz w:val="24"/>
          <w:szCs w:val="24"/>
        </w:rPr>
        <w:t xml:space="preserve"> ze szkła bezpiecznego</w:t>
      </w:r>
      <w:r w:rsidR="00AB61E7">
        <w:rPr>
          <w:rFonts w:ascii="Times New Roman" w:hAnsi="Times New Roman" w:cs="Times New Roman"/>
          <w:sz w:val="24"/>
          <w:szCs w:val="24"/>
        </w:rPr>
        <w:t xml:space="preserve"> wielowarstwowego.</w:t>
      </w:r>
      <w:r w:rsidRPr="0028519B">
        <w:rPr>
          <w:rFonts w:ascii="Times New Roman" w:hAnsi="Times New Roman" w:cs="Times New Roman"/>
          <w:sz w:val="24"/>
          <w:szCs w:val="24"/>
        </w:rPr>
        <w:t xml:space="preserve"> Na dolnej krawędzi okna zamontowany spojler - uchwyt ze stali, lakierowany proszkowo.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Okna prowadzone są na zasadzie przeciwwagi przy zastosowaniu systemu pasków oraz kół zębatych. Okno wyposażone jest w przycis</w:t>
      </w:r>
      <w:r w:rsidR="00CC46E4">
        <w:rPr>
          <w:rFonts w:ascii="Times New Roman" w:hAnsi="Times New Roman" w:cs="Times New Roman"/>
          <w:sz w:val="24"/>
          <w:szCs w:val="24"/>
        </w:rPr>
        <w:t>k blokady wysokości na poziomie</w:t>
      </w:r>
      <w:r w:rsidRPr="0028519B">
        <w:rPr>
          <w:rFonts w:ascii="Times New Roman" w:hAnsi="Times New Roman" w:cs="Times New Roman"/>
          <w:sz w:val="24"/>
          <w:szCs w:val="24"/>
        </w:rPr>
        <w:t xml:space="preserve"> 500mm. Cały system prowadzenia okna: prowadnice, ślizgi, elementy konstrukcyjne, paski i koła zębate, są schowane wewnątrz paneli bocznych dygestorium, dzięki czemu nie mają one kontaktu z agresywnymi substancjami. Nie dopuszcza się umieszczenia elementów prowadzących okno (prowadnica, prowadnik) wewnątrz komory roboczej dygestorium. </w:t>
      </w:r>
    </w:p>
    <w:p w:rsidR="00C22D60" w:rsidRPr="0028519B" w:rsidRDefault="00C22D60">
      <w:pPr>
        <w:pStyle w:val="Heading20"/>
        <w:keepNext/>
        <w:keepLines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</w:p>
    <w:p w:rsidR="00C22D60" w:rsidRPr="0028519B" w:rsidRDefault="00E374E4">
      <w:pPr>
        <w:pStyle w:val="Heading20"/>
        <w:keepNext/>
        <w:keepLines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bookmarkStart w:id="5" w:name="bookmark6"/>
      <w:bookmarkEnd w:id="5"/>
      <w:r w:rsidRPr="0028519B">
        <w:rPr>
          <w:rFonts w:ascii="Times New Roman" w:hAnsi="Times New Roman" w:cs="Times New Roman"/>
          <w:sz w:val="24"/>
          <w:szCs w:val="24"/>
        </w:rPr>
        <w:t>Blat</w:t>
      </w:r>
    </w:p>
    <w:p w:rsidR="00C22D60" w:rsidRPr="0028519B" w:rsidRDefault="00E374E4">
      <w:pPr>
        <w:pStyle w:val="Bodytext20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Blat wykonany z ceramiki lanej monolitycznej ze zintegrowanym podwyższonym obrzeżem ze wszystkich stron. Kształt blatu dostosowany do przekroju komory roboczej (maksymalne wykorzystanie powierzchni). Grubość blatu  wynosi 28 mm na całej powierzchni części płaskiej i 35 mm wraz z podniesionym obrzeżem. Zlewik chemiczny wykonany również z ceramiki lanej, umieszczony wzdłuż  tylnej ściany komory roboczej, (podklejony od dołu do blatu). Obciążenie dopuszczalne blatu, co najmniej 200 kg. </w:t>
      </w:r>
    </w:p>
    <w:p w:rsidR="00C22D60" w:rsidRPr="0028519B" w:rsidRDefault="00C22D60">
      <w:pPr>
        <w:pStyle w:val="Bodytext20"/>
        <w:spacing w:line="245" w:lineRule="exact"/>
        <w:rPr>
          <w:rFonts w:ascii="Times New Roman" w:hAnsi="Times New Roman" w:cs="Times New Roman"/>
          <w:sz w:val="24"/>
          <w:szCs w:val="24"/>
        </w:rPr>
      </w:pPr>
    </w:p>
    <w:p w:rsidR="00C22D60" w:rsidRPr="0028519B" w:rsidRDefault="00E374E4">
      <w:pPr>
        <w:pStyle w:val="Bodytext20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Lity spiek ceramiczny z podniesionym obrzeżem: spiek ceramiczny jednorodny w całym przekroju poprzecznym i podłużnym. Materiał wolny od rozpuszczalników i wszelkich związków toksycznych, odporny na uderzenia i ścieranie, niepalny, odporny na promienie UV. Materiał odporny na wszelkie kwasy, zasady, rozpuszczalniki i barwniki we wszelkich stężeniach i temperaturach stosowanych w laboratoriach (za wyjątkiem kwasu fluorowodorowego), odporny na wybarwienie oraz odporny chemicznie. Wszelkie zanieczyszczenia muszą być całkowicie usuwalne z powierzchni, włącznie z  zabrudzeniami po barwnikach chemicznych. 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Blaty na całej grubości wykonane bez użycia płyt bazowych i do szerokości 1800mm bez łączeń za pomocą fug epoksydowych. Powierzchnia blatu oraz wszystkie dostępne krawędzie blatu szkliwione. Nie dopuszcza się technologii malowania któregokolwiek z obrzeży blatów. Podwyższone obrzeże jako jednolity spiek z resztą blatu, bez używania jakichkolwiek łączeń. </w:t>
      </w:r>
    </w:p>
    <w:p w:rsidR="00C22D60" w:rsidRPr="0028519B" w:rsidRDefault="00C22D60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b/>
          <w:sz w:val="24"/>
          <w:szCs w:val="24"/>
        </w:rPr>
      </w:pPr>
      <w:r w:rsidRPr="0028519B">
        <w:rPr>
          <w:rFonts w:ascii="Times New Roman" w:hAnsi="Times New Roman" w:cs="Times New Roman"/>
          <w:b/>
          <w:sz w:val="24"/>
          <w:szCs w:val="24"/>
        </w:rPr>
        <w:t>Bezpieczeństwo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Wymagane jest wyposażenie dygestorium w układ nadzorujący poprawność działania wentylacji w dygestorium. Układ nadzorujący powinien być wyposażony w panel sterujący </w:t>
      </w:r>
      <w:r w:rsidR="00D7700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8519B">
        <w:rPr>
          <w:rFonts w:ascii="Times New Roman" w:hAnsi="Times New Roman" w:cs="Times New Roman"/>
          <w:sz w:val="24"/>
          <w:szCs w:val="24"/>
        </w:rPr>
        <w:t>z wyświetlaczem LCD. Panel sterujący musi wskazywać co najmniej: aktualną wartość przepływu powietrza przez komorę dygestorium w [m</w:t>
      </w:r>
      <w:r w:rsidRPr="0028519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8519B">
        <w:rPr>
          <w:rFonts w:ascii="Times New Roman" w:hAnsi="Times New Roman" w:cs="Times New Roman"/>
          <w:sz w:val="24"/>
          <w:szCs w:val="24"/>
        </w:rPr>
        <w:t>/h], ostrzegać o nieprawidłowej pracy dygestorium za pomocą alarmu akustycznego i optycznego - brak wentylacji, zbyt mała, zbyt duża.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Układ nadzoru powinien posiadać funkcję włączania i wyłączania dygestorium, włączenie </w:t>
      </w:r>
      <w:r w:rsidR="00D7700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8519B">
        <w:rPr>
          <w:rFonts w:ascii="Times New Roman" w:hAnsi="Times New Roman" w:cs="Times New Roman"/>
          <w:sz w:val="24"/>
          <w:szCs w:val="24"/>
        </w:rPr>
        <w:t xml:space="preserve">i wyłączenie oświetlenia komory dygestorium bez wyłączania dygestorium, wyłączanie alarmu akustycznego. Układ nadzoru winien być wyposażony w podtrzymywanie elektryczne </w:t>
      </w:r>
      <w:r w:rsidR="00D7700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8519B">
        <w:rPr>
          <w:rFonts w:ascii="Times New Roman" w:hAnsi="Times New Roman" w:cs="Times New Roman"/>
          <w:sz w:val="24"/>
          <w:szCs w:val="24"/>
        </w:rPr>
        <w:t>w przypadku zaniku napięcia oraz powinien posiadać możliwość sterowania stycznikiem wentylatora zewnętrznego. Elektroniczny Panel alarmowy dygestorium musi posiadać następujące badania wykonane przez akredytowane w tym zakresie  laboratorium wzorcujące, które potwierdzają bezpieczną i stabilną pracę sterowania i sygnalizacji alarmowej :</w:t>
      </w:r>
    </w:p>
    <w:p w:rsidR="00C22D60" w:rsidRPr="0028519B" w:rsidRDefault="00E374E4">
      <w:pPr>
        <w:pStyle w:val="Bodytext20"/>
        <w:numPr>
          <w:ilvl w:val="0"/>
          <w:numId w:val="6"/>
        </w:numPr>
        <w:spacing w:line="245" w:lineRule="exact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Raport z badań odporności na wyładowania elektrostatyczne wg PN-EN 61000-4-2 : 2011 lub równoważnej</w:t>
      </w:r>
    </w:p>
    <w:p w:rsidR="00C22D60" w:rsidRPr="0028519B" w:rsidRDefault="00E374E4">
      <w:pPr>
        <w:pStyle w:val="Bodytext20"/>
        <w:numPr>
          <w:ilvl w:val="0"/>
          <w:numId w:val="6"/>
        </w:numPr>
        <w:spacing w:line="245" w:lineRule="exact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Raport z badań odporności  na promieniowane pole elektromagnetyczne </w:t>
      </w:r>
      <w:r w:rsidR="00D7700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8519B">
        <w:rPr>
          <w:rFonts w:ascii="Times New Roman" w:hAnsi="Times New Roman" w:cs="Times New Roman"/>
          <w:sz w:val="24"/>
          <w:szCs w:val="24"/>
        </w:rPr>
        <w:t>o częstotliwości radiowej wg PN-EN 61000-4-3:2007+A1:2008+IS1:2009+A2:2011 lub równoważnej</w:t>
      </w:r>
    </w:p>
    <w:p w:rsidR="00C22D60" w:rsidRPr="0028519B" w:rsidRDefault="00E374E4">
      <w:pPr>
        <w:pStyle w:val="Bodytext20"/>
        <w:numPr>
          <w:ilvl w:val="0"/>
          <w:numId w:val="6"/>
        </w:numPr>
        <w:spacing w:line="245" w:lineRule="exact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lastRenderedPageBreak/>
        <w:t>Raport z badań odporności na serie szybkich elektrycznych stanów przejściowych wg PN-EN 61000-4-4 : 2013-05 lub równoważnej</w:t>
      </w:r>
    </w:p>
    <w:p w:rsidR="00C22D60" w:rsidRPr="0028519B" w:rsidRDefault="00E374E4">
      <w:pPr>
        <w:pStyle w:val="Bodytext20"/>
        <w:numPr>
          <w:ilvl w:val="0"/>
          <w:numId w:val="6"/>
        </w:numPr>
        <w:spacing w:line="245" w:lineRule="exact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Raport z badań odporności na udary wg PN-EN 61000-4-5 : 2010 lub równoważnej</w:t>
      </w:r>
    </w:p>
    <w:p w:rsidR="00C22D60" w:rsidRPr="0028519B" w:rsidRDefault="00E374E4">
      <w:pPr>
        <w:pStyle w:val="Bodytext20"/>
        <w:numPr>
          <w:ilvl w:val="0"/>
          <w:numId w:val="6"/>
        </w:numPr>
        <w:spacing w:line="245" w:lineRule="exact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Raport z badań odporności na zaburzenia przewodzone, indukowane przez pola o częstotliwości radiowej wg PN-EN 61000-4-6:2014-04 lub równoważnej</w:t>
      </w:r>
    </w:p>
    <w:p w:rsidR="00C22D60" w:rsidRPr="0028519B" w:rsidRDefault="00E374E4">
      <w:pPr>
        <w:pStyle w:val="Bodytext20"/>
        <w:numPr>
          <w:ilvl w:val="0"/>
          <w:numId w:val="6"/>
        </w:numPr>
        <w:spacing w:line="245" w:lineRule="exact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Raport z badań odporności  na zapady i krótkie przerwy i zmiany napięcia wg PN-EN 61000-4-11:2007 lub równoważnej</w:t>
      </w:r>
    </w:p>
    <w:p w:rsidR="00C22D60" w:rsidRPr="0028519B" w:rsidRDefault="00E374E4">
      <w:pPr>
        <w:pStyle w:val="Bodytext20"/>
        <w:numPr>
          <w:ilvl w:val="0"/>
          <w:numId w:val="6"/>
        </w:numPr>
        <w:spacing w:line="245" w:lineRule="exact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Raport z badań odporności pomiaru elektromagnetycznych zaburzeń promieniowanych wg PN-EN 55016-2-1:2009+A1:2011+A2:2013-07 lub równoważnej</w:t>
      </w:r>
    </w:p>
    <w:p w:rsidR="00C22D60" w:rsidRPr="0028519B" w:rsidRDefault="00E374E4">
      <w:pPr>
        <w:pStyle w:val="Bodytext20"/>
        <w:numPr>
          <w:ilvl w:val="0"/>
          <w:numId w:val="6"/>
        </w:numPr>
        <w:spacing w:line="245" w:lineRule="exact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Raport z badań pomiaru elektromagnetycznych zaburzeń promieniowanych wg PN-EN 55016-2-3:2010+A1:2010+Ap2:2013-06+AC:2013-06 lub równoważnej</w:t>
      </w:r>
    </w:p>
    <w:p w:rsidR="00C22D60" w:rsidRPr="0028519B" w:rsidRDefault="00C22D60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</w:p>
    <w:p w:rsidR="00C22D60" w:rsidRPr="0028519B" w:rsidRDefault="00E374E4">
      <w:pPr>
        <w:pStyle w:val="Heading20"/>
        <w:keepNext/>
        <w:keepLines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bookmarkStart w:id="6" w:name="bookmark7"/>
      <w:bookmarkEnd w:id="6"/>
      <w:r w:rsidRPr="0028519B">
        <w:rPr>
          <w:rFonts w:ascii="Times New Roman" w:hAnsi="Times New Roman" w:cs="Times New Roman"/>
          <w:sz w:val="24"/>
          <w:szCs w:val="24"/>
        </w:rPr>
        <w:t>Media</w:t>
      </w:r>
    </w:p>
    <w:p w:rsidR="00C22D60" w:rsidRPr="0028519B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Pokrętła zaworów i gniazda elektryczne umieszczone w metalowych kasetach instalacyjnych </w:t>
      </w:r>
      <w:r w:rsidR="00DB4D7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8519B">
        <w:rPr>
          <w:rFonts w:ascii="Times New Roman" w:hAnsi="Times New Roman" w:cs="Times New Roman"/>
          <w:sz w:val="24"/>
          <w:szCs w:val="24"/>
        </w:rPr>
        <w:t xml:space="preserve">w panelach instalacyjnych poniżej okna dygestorium. Dygestorium musi posiadać możliwość zainstalowania kolejnych zaworów i gniazd elektrycznych w panelach. Dygestoria muszą posiadać zarówno gniazdka jak i całe i panele elektryczne z gniazdkami o klasie szczelności IP44. Panel elektryczny musi posiadać oznaczenie CE. Gniazda elektryczne umieszczane po </w:t>
      </w:r>
      <w:r w:rsidR="00DB4D7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8519B">
        <w:rPr>
          <w:rFonts w:ascii="Times New Roman" w:hAnsi="Times New Roman" w:cs="Times New Roman"/>
          <w:sz w:val="24"/>
          <w:szCs w:val="24"/>
        </w:rPr>
        <w:t>2 sztuki 230 V lub 1 sztuka 400 V w wspólnej kasecie.</w:t>
      </w:r>
    </w:p>
    <w:p w:rsidR="0092394E" w:rsidRDefault="00E374E4">
      <w:pPr>
        <w:pStyle w:val="Bodytext20"/>
        <w:numPr>
          <w:ilvl w:val="0"/>
          <w:numId w:val="2"/>
        </w:numPr>
        <w:shd w:val="clear" w:color="auto" w:fill="auto"/>
        <w:tabs>
          <w:tab w:val="left" w:pos="246"/>
        </w:tabs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>armatura do wody zimnej - wyprowadzenie wylewek na</w:t>
      </w:r>
      <w:r w:rsidR="00B51808">
        <w:rPr>
          <w:rFonts w:ascii="Times New Roman" w:hAnsi="Times New Roman" w:cs="Times New Roman"/>
          <w:sz w:val="24"/>
          <w:szCs w:val="24"/>
        </w:rPr>
        <w:t xml:space="preserve"> tylnej ścianie komory roboczej</w:t>
      </w:r>
      <w:r w:rsidRPr="0028519B">
        <w:rPr>
          <w:rFonts w:ascii="Times New Roman" w:hAnsi="Times New Roman" w:cs="Times New Roman"/>
          <w:sz w:val="24"/>
          <w:szCs w:val="24"/>
        </w:rPr>
        <w:t xml:space="preserve">. Zakończenia wylewek muszą być odkręcane, zakończone oliwką. Zawory umieszczone są na </w:t>
      </w:r>
      <w:r w:rsidR="0092394E">
        <w:rPr>
          <w:rFonts w:ascii="Times New Roman" w:hAnsi="Times New Roman" w:cs="Times New Roman"/>
          <w:sz w:val="24"/>
          <w:szCs w:val="24"/>
        </w:rPr>
        <w:t>panelu poniżej okna dygestorium</w:t>
      </w:r>
    </w:p>
    <w:p w:rsidR="00C22D60" w:rsidRPr="0092394E" w:rsidRDefault="0092394E">
      <w:pPr>
        <w:pStyle w:val="Bodytext20"/>
        <w:numPr>
          <w:ilvl w:val="0"/>
          <w:numId w:val="2"/>
        </w:numPr>
        <w:shd w:val="clear" w:color="auto" w:fill="auto"/>
        <w:tabs>
          <w:tab w:val="left" w:pos="246"/>
        </w:tabs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92394E">
        <w:rPr>
          <w:rFonts w:ascii="Times New Roman" w:hAnsi="Times New Roman" w:cs="Times New Roman"/>
          <w:sz w:val="24"/>
          <w:szCs w:val="24"/>
        </w:rPr>
        <w:t>armatura do gazów - wyprowadzenie króćca na tylnej ścianie dygestorium, zakończenie odkręcane, zakończone oliwką. Zawory umieszczone są na panelu pod blatem</w:t>
      </w:r>
    </w:p>
    <w:p w:rsidR="00F038D0" w:rsidRDefault="00F038D0" w:rsidP="00F038D0">
      <w:pPr>
        <w:pStyle w:val="Heading20"/>
        <w:keepNext/>
        <w:keepLines/>
        <w:shd w:val="clear" w:color="auto" w:fill="auto"/>
        <w:spacing w:line="245" w:lineRule="exact"/>
        <w:rPr>
          <w:rStyle w:val="Bodytext31"/>
          <w:rFonts w:ascii="Times New Roman" w:hAnsi="Times New Roman" w:cs="Times New Roman"/>
          <w:b/>
          <w:bCs/>
          <w:sz w:val="24"/>
          <w:szCs w:val="24"/>
        </w:rPr>
      </w:pPr>
    </w:p>
    <w:p w:rsidR="00F038D0" w:rsidRPr="00337739" w:rsidRDefault="00F038D0" w:rsidP="00F038D0">
      <w:pPr>
        <w:pStyle w:val="Heading20"/>
        <w:keepNext/>
        <w:keepLines/>
        <w:shd w:val="clear" w:color="auto" w:fill="auto"/>
        <w:spacing w:line="245" w:lineRule="exact"/>
        <w:rPr>
          <w:rStyle w:val="Bodytext31"/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37739">
        <w:rPr>
          <w:rStyle w:val="Bodytext31"/>
          <w:rFonts w:ascii="Times New Roman" w:hAnsi="Times New Roman" w:cs="Times New Roman"/>
          <w:b/>
          <w:bCs/>
          <w:color w:val="auto"/>
          <w:sz w:val="24"/>
          <w:szCs w:val="24"/>
        </w:rPr>
        <w:t>Wentylacja wywiewna z dygestorium i wentylacja ogólna pomieszczeń.</w:t>
      </w:r>
    </w:p>
    <w:p w:rsidR="00F038D0" w:rsidRPr="00337739" w:rsidRDefault="00F038D0" w:rsidP="00F038D0">
      <w:pPr>
        <w:pStyle w:val="Heading20"/>
        <w:keepNext/>
        <w:keepLines/>
        <w:shd w:val="clear" w:color="auto" w:fill="auto"/>
        <w:spacing w:line="245" w:lineRule="exact"/>
        <w:rPr>
          <w:rStyle w:val="Bodytext31"/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C86A3F" w:rsidRPr="00337739" w:rsidRDefault="00C86A3F" w:rsidP="009C0865">
      <w:pPr>
        <w:pStyle w:val="Heading20"/>
        <w:keepNext/>
        <w:keepLines/>
        <w:shd w:val="clear" w:color="auto" w:fill="auto"/>
        <w:spacing w:line="245" w:lineRule="exact"/>
        <w:ind w:firstLine="708"/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</w:pPr>
      <w:r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>Dostarczane dygestoria zostaną zamontowane w pomieszczeniach</w:t>
      </w:r>
      <w:r w:rsidR="00C54D4F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>,</w:t>
      </w:r>
      <w:r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 w których </w:t>
      </w:r>
      <w:r w:rsidR="009C0865"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>wykonan</w:t>
      </w:r>
      <w:r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>a</w:t>
      </w:r>
      <w:r w:rsidR="00B51808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 jest</w:t>
      </w:r>
      <w:r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 instalacja wywiewna z </w:t>
      </w:r>
      <w:r w:rsidR="00C54D4F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>dygestoriów</w:t>
      </w:r>
      <w:r w:rsidR="009C0865"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 oraz wentylacja ogólna.</w:t>
      </w:r>
      <w:r w:rsidR="00B91C3A"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 Przewody wywiewne są doprowadzone i zakończone nad planowanymi miejscami montażu dygestoriów. Wykonawca będzie miał w zakresie wykonać połączenie istniejącego kanału z otworem </w:t>
      </w:r>
      <w:r w:rsidR="00433557"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>wywiewnym umieszczonym w górnej części dygestorium.</w:t>
      </w:r>
    </w:p>
    <w:p w:rsidR="009C0865" w:rsidRPr="00337739" w:rsidRDefault="00AC7B3A" w:rsidP="009C0865">
      <w:pPr>
        <w:pStyle w:val="Heading20"/>
        <w:keepNext/>
        <w:keepLines/>
        <w:shd w:val="clear" w:color="auto" w:fill="auto"/>
        <w:spacing w:line="245" w:lineRule="exact"/>
        <w:ind w:firstLine="708"/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</w:pPr>
      <w:r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Istniejąca infrastruktura systemu sterowania </w:t>
      </w:r>
      <w:r w:rsidR="00433557"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wentylacją (regulatory na instalacji nawiewnej i wywiewnej, moduły pomiarowe) </w:t>
      </w:r>
      <w:r w:rsidRPr="00337739">
        <w:rPr>
          <w:rStyle w:val="Bodytext31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oparta jest na systemie wentylacji laboratoriów SMAY LAB. </w:t>
      </w:r>
    </w:p>
    <w:p w:rsidR="00F038D0" w:rsidRPr="0092394E" w:rsidRDefault="00F038D0">
      <w:pPr>
        <w:pStyle w:val="Bodytext30"/>
        <w:shd w:val="clear" w:color="auto" w:fill="auto"/>
        <w:spacing w:line="245" w:lineRule="exact"/>
        <w:ind w:firstLine="0"/>
        <w:jc w:val="both"/>
        <w:rPr>
          <w:rStyle w:val="Bodytext31"/>
          <w:rFonts w:ascii="Times New Roman" w:hAnsi="Times New Roman" w:cs="Times New Roman"/>
          <w:b/>
          <w:bCs/>
          <w:sz w:val="24"/>
          <w:szCs w:val="24"/>
        </w:rPr>
      </w:pPr>
    </w:p>
    <w:p w:rsidR="00C22D60" w:rsidRPr="00CB6B64" w:rsidRDefault="00E374E4">
      <w:pPr>
        <w:pStyle w:val="Bodytext30"/>
        <w:shd w:val="clear" w:color="auto" w:fill="auto"/>
        <w:spacing w:line="24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B6B64">
        <w:rPr>
          <w:rStyle w:val="Bodytext31"/>
          <w:rFonts w:ascii="Times New Roman" w:hAnsi="Times New Roman" w:cs="Times New Roman"/>
          <w:b/>
          <w:bCs/>
          <w:sz w:val="24"/>
          <w:szCs w:val="24"/>
          <w:u w:val="none"/>
        </w:rPr>
        <w:t xml:space="preserve">Szafka pod blatem o szerokości 1100 </w:t>
      </w:r>
      <w:r w:rsidRPr="00CB6B64">
        <w:rPr>
          <w:rStyle w:val="Bodytext3NotBold"/>
          <w:rFonts w:ascii="Times New Roman" w:hAnsi="Times New Roman" w:cs="Times New Roman"/>
          <w:sz w:val="24"/>
          <w:szCs w:val="24"/>
          <w:u w:val="none"/>
        </w:rPr>
        <w:t xml:space="preserve">mm, </w:t>
      </w:r>
      <w:r w:rsidRPr="00CB6B64">
        <w:rPr>
          <w:rStyle w:val="Bodytext31"/>
          <w:rFonts w:ascii="Times New Roman" w:hAnsi="Times New Roman" w:cs="Times New Roman"/>
          <w:b/>
          <w:bCs/>
          <w:sz w:val="24"/>
          <w:szCs w:val="24"/>
          <w:u w:val="none"/>
        </w:rPr>
        <w:t>z płyty laminowanej</w:t>
      </w:r>
    </w:p>
    <w:p w:rsidR="00C22D60" w:rsidRDefault="00E374E4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szafka </w:t>
      </w:r>
      <w:r w:rsidR="006074B5">
        <w:rPr>
          <w:rFonts w:ascii="Times New Roman" w:hAnsi="Times New Roman" w:cs="Times New Roman"/>
          <w:sz w:val="24"/>
          <w:szCs w:val="24"/>
        </w:rPr>
        <w:t xml:space="preserve">dwudrzwiowa wyposażona w </w:t>
      </w:r>
      <w:r w:rsidR="009F6F2D">
        <w:rPr>
          <w:rFonts w:ascii="Times New Roman" w:hAnsi="Times New Roman" w:cs="Times New Roman"/>
          <w:sz w:val="24"/>
          <w:szCs w:val="24"/>
        </w:rPr>
        <w:t xml:space="preserve">nierdzewne </w:t>
      </w:r>
      <w:r w:rsidR="006074B5">
        <w:rPr>
          <w:rFonts w:ascii="Times New Roman" w:hAnsi="Times New Roman" w:cs="Times New Roman"/>
          <w:sz w:val="24"/>
          <w:szCs w:val="24"/>
        </w:rPr>
        <w:t xml:space="preserve">zawiasy o kącie otwarcia 180ºC, </w:t>
      </w:r>
      <w:r w:rsidRPr="0028519B">
        <w:rPr>
          <w:rFonts w:ascii="Times New Roman" w:hAnsi="Times New Roman" w:cs="Times New Roman"/>
          <w:sz w:val="24"/>
          <w:szCs w:val="24"/>
        </w:rPr>
        <w:t>umieszczona w stelażu stalowym, wentylowana</w:t>
      </w:r>
      <w:r w:rsidR="00F5185D">
        <w:rPr>
          <w:rFonts w:ascii="Times New Roman" w:hAnsi="Times New Roman" w:cs="Times New Roman"/>
          <w:sz w:val="24"/>
          <w:szCs w:val="24"/>
        </w:rPr>
        <w:t>,</w:t>
      </w:r>
      <w:r w:rsidRPr="0028519B">
        <w:rPr>
          <w:rFonts w:ascii="Times New Roman" w:hAnsi="Times New Roman" w:cs="Times New Roman"/>
          <w:sz w:val="24"/>
          <w:szCs w:val="24"/>
        </w:rPr>
        <w:t xml:space="preserve"> o podwyższonej odporności chemicznej do podręcznego </w:t>
      </w:r>
      <w:r w:rsidR="00DB4D7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28519B">
        <w:rPr>
          <w:rFonts w:ascii="Times New Roman" w:hAnsi="Times New Roman" w:cs="Times New Roman"/>
          <w:sz w:val="24"/>
          <w:szCs w:val="24"/>
        </w:rPr>
        <w:t>i krótkotrwałego przechowywania niebezpiecznych substancji,  laminowana</w:t>
      </w:r>
      <w:r w:rsidR="00275AEF">
        <w:rPr>
          <w:rFonts w:ascii="Times New Roman" w:hAnsi="Times New Roman" w:cs="Times New Roman"/>
          <w:sz w:val="24"/>
          <w:szCs w:val="24"/>
        </w:rPr>
        <w:t>,</w:t>
      </w:r>
      <w:r w:rsidRPr="0028519B">
        <w:rPr>
          <w:rFonts w:ascii="Times New Roman" w:hAnsi="Times New Roman" w:cs="Times New Roman"/>
          <w:sz w:val="24"/>
          <w:szCs w:val="24"/>
        </w:rPr>
        <w:t xml:space="preserve"> z kuwetą z PP</w:t>
      </w:r>
      <w:r w:rsidR="00275AEF">
        <w:rPr>
          <w:rFonts w:ascii="Times New Roman" w:hAnsi="Times New Roman" w:cs="Times New Roman"/>
          <w:sz w:val="24"/>
          <w:szCs w:val="24"/>
        </w:rPr>
        <w:t xml:space="preserve">, </w:t>
      </w:r>
      <w:r w:rsidR="00275AEF" w:rsidRPr="00F131B1">
        <w:rPr>
          <w:rFonts w:ascii="Times New Roman" w:hAnsi="Times New Roman" w:cs="Times New Roman"/>
          <w:sz w:val="24"/>
          <w:szCs w:val="24"/>
        </w:rPr>
        <w:t>mobilna</w:t>
      </w:r>
      <w:r w:rsidR="00F131B1">
        <w:rPr>
          <w:rFonts w:ascii="Times New Roman" w:hAnsi="Times New Roman" w:cs="Times New Roman"/>
          <w:sz w:val="24"/>
          <w:szCs w:val="24"/>
        </w:rPr>
        <w:t>.</w:t>
      </w:r>
    </w:p>
    <w:p w:rsidR="006074B5" w:rsidRPr="0028519B" w:rsidRDefault="006074B5">
      <w:pPr>
        <w:pStyle w:val="Bodytext20"/>
        <w:shd w:val="clear" w:color="auto" w:fill="auto"/>
        <w:spacing w:line="245" w:lineRule="exact"/>
        <w:rPr>
          <w:rFonts w:ascii="Times New Roman" w:hAnsi="Times New Roman" w:cs="Times New Roman"/>
          <w:sz w:val="24"/>
          <w:szCs w:val="24"/>
        </w:rPr>
      </w:pPr>
    </w:p>
    <w:p w:rsidR="00C22D60" w:rsidRPr="0028519B" w:rsidRDefault="00E374E4">
      <w:pPr>
        <w:pStyle w:val="Heading20"/>
        <w:keepNext/>
        <w:keepLines/>
        <w:shd w:val="clear" w:color="auto" w:fill="auto"/>
        <w:spacing w:after="203" w:line="200" w:lineRule="exact"/>
        <w:rPr>
          <w:rFonts w:ascii="Times New Roman" w:hAnsi="Times New Roman" w:cs="Times New Roman"/>
          <w:sz w:val="24"/>
          <w:szCs w:val="24"/>
        </w:rPr>
      </w:pPr>
      <w:bookmarkStart w:id="7" w:name="bookmark8"/>
      <w:bookmarkEnd w:id="7"/>
      <w:r w:rsidRPr="0028519B">
        <w:rPr>
          <w:rFonts w:ascii="Times New Roman" w:hAnsi="Times New Roman" w:cs="Times New Roman"/>
          <w:sz w:val="24"/>
          <w:szCs w:val="24"/>
        </w:rPr>
        <w:t>Inne wymagania:</w:t>
      </w:r>
    </w:p>
    <w:p w:rsidR="00C22D60" w:rsidRPr="0028519B" w:rsidRDefault="00E374E4">
      <w:pPr>
        <w:pStyle w:val="Bodytext20"/>
        <w:numPr>
          <w:ilvl w:val="0"/>
          <w:numId w:val="3"/>
        </w:numPr>
        <w:shd w:val="clear" w:color="auto" w:fill="auto"/>
        <w:tabs>
          <w:tab w:val="left" w:pos="284"/>
        </w:tabs>
        <w:spacing w:line="245" w:lineRule="exact"/>
        <w:rPr>
          <w:rFonts w:ascii="Times New Roman" w:hAnsi="Times New Roman" w:cs="Times New Roman"/>
          <w:sz w:val="24"/>
          <w:szCs w:val="24"/>
        </w:rPr>
      </w:pPr>
      <w:r w:rsidRPr="0028519B">
        <w:rPr>
          <w:rFonts w:ascii="Times New Roman" w:hAnsi="Times New Roman" w:cs="Times New Roman"/>
          <w:sz w:val="24"/>
          <w:szCs w:val="24"/>
        </w:rPr>
        <w:t xml:space="preserve">Montaż, instalacja (podłączenie mebli do instalacji) i uruchomienie dygestoriów </w:t>
      </w:r>
      <w:r w:rsidR="00DB4D7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8519B">
        <w:rPr>
          <w:rFonts w:ascii="Times New Roman" w:hAnsi="Times New Roman" w:cs="Times New Roman"/>
          <w:sz w:val="24"/>
          <w:szCs w:val="24"/>
        </w:rPr>
        <w:t xml:space="preserve">w miejscu użytkowania w siedzibie Zamawiającego oraz przeszkolenie personelu </w:t>
      </w:r>
      <w:r w:rsidR="00DB4D7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8519B">
        <w:rPr>
          <w:rFonts w:ascii="Times New Roman" w:hAnsi="Times New Roman" w:cs="Times New Roman"/>
          <w:sz w:val="24"/>
          <w:szCs w:val="24"/>
        </w:rPr>
        <w:t>w zakresie obsługi - wliczone w cenę,</w:t>
      </w:r>
    </w:p>
    <w:p w:rsidR="00EA3F52" w:rsidRPr="009B2800" w:rsidRDefault="00E374E4" w:rsidP="00EA3F52">
      <w:pPr>
        <w:pStyle w:val="Bodytext20"/>
        <w:numPr>
          <w:ilvl w:val="0"/>
          <w:numId w:val="3"/>
        </w:numPr>
        <w:tabs>
          <w:tab w:val="left" w:pos="289"/>
        </w:tabs>
        <w:spacing w:line="245" w:lineRule="exact"/>
        <w:rPr>
          <w:b/>
          <w:bCs/>
        </w:rPr>
      </w:pPr>
      <w:r w:rsidRPr="0028519B">
        <w:rPr>
          <w:rFonts w:ascii="Times New Roman" w:hAnsi="Times New Roman" w:cs="Times New Roman"/>
          <w:sz w:val="24"/>
          <w:szCs w:val="24"/>
        </w:rPr>
        <w:t>Instrukcja obsługi w języku polskim</w:t>
      </w:r>
      <w:r w:rsidR="00B51808">
        <w:rPr>
          <w:rFonts w:ascii="Times New Roman" w:hAnsi="Times New Roman" w:cs="Times New Roman"/>
          <w:sz w:val="24"/>
          <w:szCs w:val="24"/>
        </w:rPr>
        <w:t>.</w:t>
      </w:r>
    </w:p>
    <w:p w:rsidR="009B2800" w:rsidRPr="00EA3F52" w:rsidRDefault="009B2800" w:rsidP="009B2800">
      <w:pPr>
        <w:pStyle w:val="Bodytext20"/>
        <w:tabs>
          <w:tab w:val="left" w:pos="289"/>
        </w:tabs>
        <w:spacing w:line="245" w:lineRule="exact"/>
        <w:ind w:left="720"/>
        <w:rPr>
          <w:b/>
          <w:bCs/>
        </w:rPr>
      </w:pPr>
    </w:p>
    <w:p w:rsidR="00EA3F52" w:rsidRDefault="00EA3F52" w:rsidP="00EA3F52">
      <w:pPr>
        <w:pStyle w:val="Bodytext20"/>
        <w:tabs>
          <w:tab w:val="left" w:pos="289"/>
        </w:tabs>
        <w:spacing w:line="245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9B2800" w:rsidRPr="00701A6B" w:rsidRDefault="009B2800" w:rsidP="0031501C">
      <w:pPr>
        <w:pStyle w:val="Bodytext20"/>
        <w:tabs>
          <w:tab w:val="left" w:pos="289"/>
        </w:tabs>
        <w:spacing w:line="245" w:lineRule="exact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701A6B">
        <w:rPr>
          <w:rFonts w:ascii="Times New Roman" w:hAnsi="Times New Roman" w:cs="Times New Roman"/>
          <w:b/>
          <w:bCs/>
          <w:sz w:val="32"/>
          <w:szCs w:val="32"/>
        </w:rPr>
        <w:lastRenderedPageBreak/>
        <w:t>3. Szafa bezpieczeństwa na odczynniki wysoka –</w:t>
      </w:r>
      <w:r w:rsidR="00956DFE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31501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701A6B">
        <w:rPr>
          <w:rFonts w:ascii="Times New Roman" w:hAnsi="Times New Roman" w:cs="Times New Roman"/>
          <w:b/>
          <w:bCs/>
          <w:sz w:val="32"/>
          <w:szCs w:val="32"/>
        </w:rPr>
        <w:t>szt.</w:t>
      </w:r>
    </w:p>
    <w:p w:rsidR="009B2800" w:rsidRPr="00E80534" w:rsidRDefault="009B2800" w:rsidP="0031501C">
      <w:pPr>
        <w:pStyle w:val="Bodytext20"/>
        <w:tabs>
          <w:tab w:val="left" w:pos="289"/>
        </w:tabs>
        <w:spacing w:line="245" w:lineRule="exact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E80534">
        <w:rPr>
          <w:rFonts w:ascii="Times New Roman" w:hAnsi="Times New Roman" w:cs="Times New Roman"/>
          <w:sz w:val="24"/>
          <w:szCs w:val="24"/>
        </w:rPr>
        <w:t xml:space="preserve">Przedmiotem tej części zamówienia jest dostawa fabrycznie nowych szaf </w:t>
      </w:r>
      <w:r w:rsidRPr="00E80534">
        <w:rPr>
          <w:rFonts w:ascii="Times New Roman" w:hAnsi="Times New Roman" w:cs="Times New Roman"/>
          <w:iCs/>
          <w:sz w:val="24"/>
          <w:szCs w:val="24"/>
        </w:rPr>
        <w:t>o podwyższonej odporności ogniowej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E80534">
        <w:rPr>
          <w:rFonts w:ascii="Times New Roman" w:hAnsi="Times New Roman" w:cs="Times New Roman"/>
          <w:iCs/>
          <w:sz w:val="24"/>
          <w:szCs w:val="24"/>
        </w:rPr>
        <w:t xml:space="preserve">przeznaczonych do przechowywania odczynników drażniących, trujących, niebezpiecznych dla środowiska i silnych utleniaczy, </w:t>
      </w:r>
      <w:r w:rsidRPr="00E80534">
        <w:rPr>
          <w:rFonts w:ascii="Times New Roman" w:hAnsi="Times New Roman" w:cs="Times New Roman"/>
          <w:sz w:val="24"/>
          <w:szCs w:val="24"/>
        </w:rPr>
        <w:t>spełniających następujące wymagania techniczne:</w:t>
      </w:r>
    </w:p>
    <w:p w:rsidR="009B2800" w:rsidRPr="005B34B6" w:rsidRDefault="009B2800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color w:val="333333"/>
        </w:rPr>
      </w:pPr>
      <w:r w:rsidRPr="005B34B6">
        <w:rPr>
          <w:color w:val="000000"/>
        </w:rPr>
        <w:t>Wymiary:1000x450x1990mm (szer</w:t>
      </w:r>
      <w:r>
        <w:rPr>
          <w:color w:val="000000"/>
        </w:rPr>
        <w:t xml:space="preserve"> </w:t>
      </w:r>
      <w:r w:rsidRPr="005B34B6">
        <w:rPr>
          <w:color w:val="000000"/>
        </w:rPr>
        <w:t>x</w:t>
      </w:r>
      <w:r>
        <w:rPr>
          <w:color w:val="000000"/>
        </w:rPr>
        <w:t xml:space="preserve"> </w:t>
      </w:r>
      <w:r w:rsidRPr="005B34B6">
        <w:rPr>
          <w:color w:val="000000"/>
        </w:rPr>
        <w:t>głęb</w:t>
      </w:r>
      <w:r>
        <w:rPr>
          <w:color w:val="000000"/>
        </w:rPr>
        <w:t xml:space="preserve"> </w:t>
      </w:r>
      <w:r w:rsidRPr="005B34B6">
        <w:rPr>
          <w:color w:val="000000"/>
        </w:rPr>
        <w:t>x</w:t>
      </w:r>
      <w:r>
        <w:rPr>
          <w:color w:val="000000"/>
        </w:rPr>
        <w:t xml:space="preserve"> </w:t>
      </w:r>
      <w:r w:rsidRPr="005B34B6">
        <w:rPr>
          <w:color w:val="000000"/>
        </w:rPr>
        <w:t>wys)</w:t>
      </w:r>
    </w:p>
    <w:p w:rsidR="009B2800" w:rsidRPr="005B34B6" w:rsidRDefault="009B2800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color w:val="333333"/>
        </w:rPr>
      </w:pPr>
      <w:r w:rsidRPr="005B34B6">
        <w:rPr>
          <w:color w:val="000000"/>
        </w:rPr>
        <w:t>Szafa na regulowanych stopkach umożliwiających jej poziomowanie.</w:t>
      </w:r>
    </w:p>
    <w:p w:rsidR="009B2800" w:rsidRPr="005B34B6" w:rsidRDefault="009B2800" w:rsidP="0031501C">
      <w:pPr>
        <w:pStyle w:val="western"/>
        <w:shd w:val="clear" w:color="auto" w:fill="FFFFFF"/>
        <w:tabs>
          <w:tab w:val="left" w:pos="6521"/>
          <w:tab w:val="left" w:pos="8505"/>
          <w:tab w:val="left" w:pos="9164"/>
          <w:tab w:val="left" w:pos="9214"/>
        </w:tabs>
        <w:spacing w:after="0" w:afterAutospacing="0"/>
        <w:ind w:right="-50"/>
        <w:contextualSpacing/>
        <w:rPr>
          <w:color w:val="333333"/>
        </w:rPr>
      </w:pPr>
      <w:r w:rsidRPr="005B34B6">
        <w:rPr>
          <w:color w:val="333333"/>
        </w:rPr>
        <w:t>Korpus: konstrukcja dwupłaszczowa, wykonana z blachy stalowej o gr. 1 mm, wypełniona wewnątrz niepalną wełną mineralną. Wewnątrz korpusu w tylnej lewej części znajduje się trójkątny kanał wentylacyjny z umieszczonymi anemostatami, co znakomicie poprawia skuteczność jej wentylowania.</w:t>
      </w:r>
    </w:p>
    <w:p w:rsidR="009B2800" w:rsidRPr="005B34B6" w:rsidRDefault="009B2800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color w:val="333333"/>
        </w:rPr>
      </w:pPr>
      <w:r w:rsidRPr="005B34B6">
        <w:rPr>
          <w:color w:val="333333"/>
        </w:rPr>
        <w:t>Na górze szafy na wysokości kanału wentylacyjnego znajduje się króciec metalowy do podłączenia wentylacji o średnicy Ø 100 mm.</w:t>
      </w:r>
    </w:p>
    <w:p w:rsidR="009B2800" w:rsidRPr="005B34B6" w:rsidRDefault="009B2800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color w:val="333333"/>
        </w:rPr>
      </w:pPr>
      <w:r w:rsidRPr="005B34B6">
        <w:rPr>
          <w:color w:val="333333"/>
        </w:rPr>
        <w:t>Drzwi prawe i lewe osadzone są na zawiasach skrzydełkowych umożliwiających pełne otwarcie drzwi.</w:t>
      </w:r>
    </w:p>
    <w:p w:rsidR="009B2800" w:rsidRPr="005B34B6" w:rsidRDefault="009B2800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color w:val="333333"/>
        </w:rPr>
      </w:pPr>
      <w:r w:rsidRPr="005B34B6">
        <w:rPr>
          <w:color w:val="333333"/>
        </w:rPr>
        <w:t>Konstrukcja drzwi: wykonanie z blachy stalowej 1,0- 0,8 mm, dwupłaszczowe wypełnione wewnątrz niepalną wełną mineralną. Zamek typu „klamka” osadzony jest na drzwiach prawych, blokuje oba skrzydła drzwi. Na styku korpusu i drzwi na korpusie naklejona jest uszczelka z włókien szklanych niepalna.</w:t>
      </w:r>
    </w:p>
    <w:p w:rsidR="009B2800" w:rsidRPr="005B34B6" w:rsidRDefault="009B2800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color w:val="333333"/>
        </w:rPr>
      </w:pPr>
      <w:r w:rsidRPr="005B34B6">
        <w:rPr>
          <w:color w:val="333333"/>
        </w:rPr>
        <w:t>Korpus i drzwi malowane są farbą proszkową w kolorze popiel RAL 7035.</w:t>
      </w:r>
    </w:p>
    <w:p w:rsidR="009B2800" w:rsidRDefault="009B2800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color w:val="333333"/>
        </w:rPr>
      </w:pPr>
      <w:r>
        <w:rPr>
          <w:color w:val="333333"/>
        </w:rPr>
        <w:t>Szafa wyposażona w 4 szczelne półko-</w:t>
      </w:r>
      <w:r w:rsidRPr="005B34B6">
        <w:rPr>
          <w:color w:val="333333"/>
        </w:rPr>
        <w:t>wanienki o wysokości 25mm, przestawne co 20mm, malowane farbą proszkową. Nośność pólko-wanienki 50kg</w:t>
      </w:r>
      <w:r w:rsidR="0031501C">
        <w:rPr>
          <w:color w:val="333333"/>
        </w:rPr>
        <w:t>.</w:t>
      </w:r>
    </w:p>
    <w:p w:rsidR="0031501C" w:rsidRDefault="0031501C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b/>
          <w:bCs/>
          <w:sz w:val="32"/>
          <w:szCs w:val="32"/>
        </w:rPr>
      </w:pPr>
    </w:p>
    <w:p w:rsidR="0031501C" w:rsidRDefault="0031501C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</w:t>
      </w:r>
      <w:r w:rsidRPr="00701A6B">
        <w:rPr>
          <w:b/>
          <w:bCs/>
          <w:sz w:val="32"/>
          <w:szCs w:val="32"/>
        </w:rPr>
        <w:t xml:space="preserve">. Szafa bezpieczeństwa na </w:t>
      </w:r>
      <w:r>
        <w:rPr>
          <w:b/>
          <w:bCs/>
          <w:sz w:val="32"/>
          <w:szCs w:val="32"/>
        </w:rPr>
        <w:t>kwasy i zasady</w:t>
      </w:r>
      <w:r w:rsidRPr="00701A6B">
        <w:rPr>
          <w:b/>
          <w:bCs/>
          <w:sz w:val="32"/>
          <w:szCs w:val="32"/>
        </w:rPr>
        <w:t xml:space="preserve"> wysoka –</w:t>
      </w:r>
      <w:r w:rsidR="00956DFE">
        <w:rPr>
          <w:b/>
          <w:bCs/>
          <w:sz w:val="32"/>
          <w:szCs w:val="32"/>
        </w:rPr>
        <w:t>2</w:t>
      </w:r>
      <w:r>
        <w:rPr>
          <w:b/>
          <w:bCs/>
          <w:sz w:val="32"/>
          <w:szCs w:val="32"/>
        </w:rPr>
        <w:t xml:space="preserve"> </w:t>
      </w:r>
      <w:r w:rsidRPr="00701A6B">
        <w:rPr>
          <w:b/>
          <w:bCs/>
          <w:sz w:val="32"/>
          <w:szCs w:val="32"/>
        </w:rPr>
        <w:t>szt.</w:t>
      </w:r>
    </w:p>
    <w:p w:rsidR="0031501C" w:rsidRDefault="0031501C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bCs/>
        </w:rPr>
      </w:pPr>
      <w:r w:rsidRPr="0031501C">
        <w:rPr>
          <w:bCs/>
        </w:rPr>
        <w:t xml:space="preserve">Szafa o wymiarach </w:t>
      </w:r>
      <w:r>
        <w:rPr>
          <w:bCs/>
        </w:rPr>
        <w:t>600x600x1900 mm, wykonana w całości ze spienionego PVC</w:t>
      </w:r>
      <w:r w:rsidR="008D1117">
        <w:rPr>
          <w:bCs/>
        </w:rPr>
        <w:t>, w</w:t>
      </w:r>
      <w:r>
        <w:rPr>
          <w:bCs/>
        </w:rPr>
        <w:t>yposażona w cztery kuwety z PP na chemoodpornych prowadnicach z blokadą wysuwania.</w:t>
      </w:r>
    </w:p>
    <w:p w:rsidR="008D1117" w:rsidRDefault="0031501C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bCs/>
        </w:rPr>
      </w:pPr>
      <w:r>
        <w:rPr>
          <w:bCs/>
        </w:rPr>
        <w:t>Szafa posiada osobno otwiera</w:t>
      </w:r>
      <w:r w:rsidR="008D1117">
        <w:rPr>
          <w:bCs/>
        </w:rPr>
        <w:t>ną część na zasady oraz kwasy.</w:t>
      </w:r>
    </w:p>
    <w:p w:rsidR="008D1117" w:rsidRDefault="0031501C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bCs/>
        </w:rPr>
      </w:pPr>
      <w:r>
        <w:rPr>
          <w:bCs/>
        </w:rPr>
        <w:t>Wykonanie zgodnie z normą PN EN</w:t>
      </w:r>
      <w:r w:rsidR="00090790">
        <w:rPr>
          <w:bCs/>
        </w:rPr>
        <w:t xml:space="preserve"> 14727</w:t>
      </w:r>
      <w:r>
        <w:rPr>
          <w:bCs/>
        </w:rPr>
        <w:t>:2006 – Meble laboratoryjne, meble laboratoryjne do przechowywania</w:t>
      </w:r>
      <w:r w:rsidR="008D1117">
        <w:rPr>
          <w:bCs/>
        </w:rPr>
        <w:t xml:space="preserve">, wymagania i metody badań, potwierdzone deklaracją CE. </w:t>
      </w:r>
    </w:p>
    <w:p w:rsidR="0031501C" w:rsidRPr="0031501C" w:rsidRDefault="008D1117" w:rsidP="0031501C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contextualSpacing/>
        <w:rPr>
          <w:bCs/>
        </w:rPr>
      </w:pPr>
      <w:r>
        <w:rPr>
          <w:bCs/>
        </w:rPr>
        <w:t xml:space="preserve">Wymagane podpięcie </w:t>
      </w:r>
      <w:r w:rsidR="00956DFE">
        <w:rPr>
          <w:bCs/>
        </w:rPr>
        <w:t xml:space="preserve">jednej </w:t>
      </w:r>
      <w:r>
        <w:rPr>
          <w:bCs/>
        </w:rPr>
        <w:t>szafy do istniejącej wentylacji posiadanej przez Zamawiającego.</w:t>
      </w:r>
    </w:p>
    <w:p w:rsidR="0031501C" w:rsidRDefault="0031501C" w:rsidP="009B2800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rPr>
          <w:color w:val="333333"/>
        </w:rPr>
      </w:pPr>
    </w:p>
    <w:p w:rsidR="0031501C" w:rsidRPr="005B34B6" w:rsidRDefault="0031501C" w:rsidP="009B2800">
      <w:pPr>
        <w:pStyle w:val="western"/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rPr>
          <w:color w:val="333333"/>
        </w:rPr>
      </w:pPr>
    </w:p>
    <w:p w:rsidR="00EA3F52" w:rsidRDefault="00EA3F52" w:rsidP="00EA3F52">
      <w:pPr>
        <w:pStyle w:val="Bodytext20"/>
        <w:tabs>
          <w:tab w:val="left" w:pos="289"/>
        </w:tabs>
        <w:spacing w:line="245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9B2800" w:rsidRDefault="009B2800" w:rsidP="00EA3F52">
      <w:pPr>
        <w:pStyle w:val="Bodytext20"/>
        <w:tabs>
          <w:tab w:val="left" w:pos="289"/>
        </w:tabs>
        <w:spacing w:line="245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9B2800" w:rsidRDefault="009B2800" w:rsidP="00EA3F52">
      <w:pPr>
        <w:pStyle w:val="Bodytext20"/>
        <w:tabs>
          <w:tab w:val="left" w:pos="289"/>
        </w:tabs>
        <w:spacing w:line="245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CE7DA7" w:rsidRDefault="00B877B6" w:rsidP="00CE7DA7">
      <w:pPr>
        <w:pStyle w:val="western"/>
        <w:shd w:val="clear" w:color="auto" w:fill="FFFFFF"/>
        <w:tabs>
          <w:tab w:val="left" w:pos="9164"/>
          <w:tab w:val="left" w:pos="9214"/>
        </w:tabs>
        <w:spacing w:before="0" w:beforeAutospacing="0" w:after="0" w:afterAutospacing="0"/>
        <w:ind w:right="-5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WYMAGANIA WOBE</w:t>
      </w:r>
      <w:r w:rsidR="00D54031">
        <w:rPr>
          <w:b/>
          <w:sz w:val="26"/>
          <w:szCs w:val="26"/>
        </w:rPr>
        <w:t>C</w:t>
      </w:r>
      <w:r w:rsidR="00B51808">
        <w:rPr>
          <w:b/>
          <w:sz w:val="26"/>
          <w:szCs w:val="26"/>
        </w:rPr>
        <w:t xml:space="preserve"> PRODU</w:t>
      </w:r>
      <w:r w:rsidR="00D8655C">
        <w:rPr>
          <w:b/>
          <w:sz w:val="26"/>
          <w:szCs w:val="26"/>
        </w:rPr>
        <w:t>CENTÓW I ICH PRODUKTÓW</w:t>
      </w:r>
    </w:p>
    <w:p w:rsidR="00D8655C" w:rsidRPr="00CE7DA7" w:rsidRDefault="0074215C" w:rsidP="00CE7DA7">
      <w:pPr>
        <w:pStyle w:val="western"/>
        <w:shd w:val="clear" w:color="auto" w:fill="FFFFFF"/>
        <w:tabs>
          <w:tab w:val="left" w:pos="9164"/>
          <w:tab w:val="left" w:pos="9214"/>
        </w:tabs>
        <w:spacing w:before="0" w:beforeAutospacing="0" w:after="0" w:afterAutospacing="0"/>
        <w:ind w:right="-51"/>
        <w:jc w:val="both"/>
        <w:rPr>
          <w:b/>
          <w:sz w:val="26"/>
          <w:szCs w:val="26"/>
        </w:rPr>
      </w:pPr>
      <w:r w:rsidRPr="007B0BB2">
        <w:rPr>
          <w:u w:val="single"/>
        </w:rPr>
        <w:t xml:space="preserve">Dokumenty jakie należy przedłożyć Zamawiającemu </w:t>
      </w:r>
      <w:r w:rsidR="00FB2026" w:rsidRPr="00FB2026">
        <w:rPr>
          <w:b/>
          <w:u w:val="single"/>
        </w:rPr>
        <w:t>nie później</w:t>
      </w:r>
      <w:r w:rsidR="00FB2026">
        <w:rPr>
          <w:u w:val="single"/>
        </w:rPr>
        <w:t xml:space="preserve"> niż 5 dni po wyborze najkorzystniejszej oferty</w:t>
      </w:r>
      <w:r w:rsidR="00636228">
        <w:rPr>
          <w:u w:val="single"/>
        </w:rPr>
        <w:t>. Wszystkie dostarczone dokumenty muszą być w języku polskim.</w:t>
      </w:r>
    </w:p>
    <w:p w:rsidR="00D8655C" w:rsidRPr="00D8655C" w:rsidRDefault="0074215C" w:rsidP="00812539">
      <w:pPr>
        <w:pStyle w:val="western"/>
        <w:numPr>
          <w:ilvl w:val="0"/>
          <w:numId w:val="4"/>
        </w:numPr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jc w:val="both"/>
        <w:rPr>
          <w:color w:val="333333"/>
        </w:rPr>
      </w:pPr>
      <w:r w:rsidRPr="00D8655C">
        <w:rPr>
          <w:rFonts w:eastAsia="Calibri"/>
        </w:rPr>
        <w:t>Certyfikat systemu jakości, czyli certyfikat spe</w:t>
      </w:r>
      <w:r w:rsidRPr="00D8655C">
        <w:rPr>
          <w:rFonts w:eastAsia="Calibri" w:hint="eastAsia"/>
        </w:rPr>
        <w:t>ł</w:t>
      </w:r>
      <w:r w:rsidRPr="00D8655C">
        <w:rPr>
          <w:rFonts w:eastAsia="Calibri"/>
        </w:rPr>
        <w:t xml:space="preserve">niania wymagań odpowiedniej Polskiej Normy (np. PN-EN ISO 9001:2008) dotyczącej systemów zapewniania jakości </w:t>
      </w:r>
      <w:r w:rsidR="00E07369">
        <w:rPr>
          <w:rFonts w:eastAsia="Calibri"/>
        </w:rPr>
        <w:t xml:space="preserve">                           </w:t>
      </w:r>
      <w:r w:rsidRPr="00D8655C">
        <w:rPr>
          <w:rFonts w:eastAsia="Calibri"/>
        </w:rPr>
        <w:t xml:space="preserve">w zakresie "Projektowanie produkcja i serwis mebli oraz sprzętu laboratoryjnego", wydany przez jednostkę akredytowaną w Polsce i uprawnioną do certyfikacji w zakresie systemów zarządzania jakością w rozumieniu Ustawy z dnia 30 sierpnia 2002 roku </w:t>
      </w:r>
      <w:r w:rsidR="00E07369">
        <w:rPr>
          <w:rFonts w:eastAsia="Calibri"/>
        </w:rPr>
        <w:t xml:space="preserve">                      </w:t>
      </w:r>
      <w:r w:rsidRPr="00D8655C">
        <w:rPr>
          <w:rFonts w:eastAsia="Calibri"/>
        </w:rPr>
        <w:t>o systemie oceny zgodności (Dz. U. z 2004 nr 204 poz. 2087 z późn. zm.)</w:t>
      </w:r>
      <w:r w:rsidR="00E07369">
        <w:rPr>
          <w:rFonts w:eastAsia="Calibri"/>
        </w:rPr>
        <w:t>.</w:t>
      </w:r>
      <w:r w:rsidRPr="00D8655C">
        <w:rPr>
          <w:rFonts w:eastAsia="Calibri"/>
        </w:rPr>
        <w:t xml:space="preserve"> </w:t>
      </w:r>
    </w:p>
    <w:p w:rsidR="00D8655C" w:rsidRPr="00D8655C" w:rsidRDefault="0074215C" w:rsidP="00812539">
      <w:pPr>
        <w:pStyle w:val="western"/>
        <w:numPr>
          <w:ilvl w:val="0"/>
          <w:numId w:val="4"/>
        </w:numPr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jc w:val="both"/>
        <w:rPr>
          <w:color w:val="333333"/>
        </w:rPr>
      </w:pPr>
      <w:r w:rsidRPr="00D8655C">
        <w:rPr>
          <w:rFonts w:eastAsia="Calibri"/>
        </w:rPr>
        <w:lastRenderedPageBreak/>
        <w:t>Certyfikat s</w:t>
      </w:r>
      <w:r w:rsidR="00C54D4F" w:rsidRPr="00D8655C">
        <w:rPr>
          <w:rFonts w:eastAsia="Calibri"/>
        </w:rPr>
        <w:t>ystemu zarządzania środowiskiem</w:t>
      </w:r>
      <w:r w:rsidRPr="00D8655C">
        <w:rPr>
          <w:rFonts w:eastAsia="Calibri"/>
        </w:rPr>
        <w:t>, czyli certyfikat spełniania wymagań odpowiedniej Polskiej Normy (np. PN-EN ISO 14001)  w zakresie "Projektowanie produkcja i serwis mebli</w:t>
      </w:r>
      <w:r w:rsidR="00C54D4F" w:rsidRPr="00D8655C">
        <w:rPr>
          <w:rFonts w:eastAsia="Calibri"/>
        </w:rPr>
        <w:t xml:space="preserve"> oraz sprzętu laboratoryjnego" w</w:t>
      </w:r>
      <w:r w:rsidRPr="00D8655C">
        <w:rPr>
          <w:rFonts w:eastAsia="Calibri"/>
        </w:rPr>
        <w:t>ydany  przez jednostkę akredytowaną w Polsce i uprawnioną do certyfikacji w zakresie systemów zarządzania środowiskiem.</w:t>
      </w:r>
    </w:p>
    <w:p w:rsidR="00D8655C" w:rsidRPr="00D8655C" w:rsidRDefault="0074215C" w:rsidP="00812539">
      <w:pPr>
        <w:pStyle w:val="western"/>
        <w:numPr>
          <w:ilvl w:val="0"/>
          <w:numId w:val="4"/>
        </w:numPr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jc w:val="both"/>
        <w:rPr>
          <w:color w:val="333333"/>
        </w:rPr>
      </w:pPr>
      <w:r w:rsidRPr="00D8655C">
        <w:rPr>
          <w:rFonts w:eastAsia="Calibri"/>
        </w:rPr>
        <w:t>Cer</w:t>
      </w:r>
      <w:r w:rsidR="00C54D4F" w:rsidRPr="00D8655C">
        <w:rPr>
          <w:rFonts w:eastAsia="Calibri"/>
        </w:rPr>
        <w:t>tyfikat systemu zarządzania BHP</w:t>
      </w:r>
      <w:r w:rsidRPr="00D8655C">
        <w:rPr>
          <w:rFonts w:eastAsia="Calibri"/>
        </w:rPr>
        <w:t>, czyli certyfikat spełniania wymagań odpowiedniej Normy (np. OHSAS 18001)  w zakresie "Projektowanie produkcja i serwis mebli</w:t>
      </w:r>
      <w:r w:rsidR="00C54D4F" w:rsidRPr="00D8655C">
        <w:rPr>
          <w:rFonts w:eastAsia="Calibri"/>
        </w:rPr>
        <w:t xml:space="preserve"> oraz sprzętu laboratoryjnego" w</w:t>
      </w:r>
      <w:r w:rsidRPr="00D8655C">
        <w:rPr>
          <w:rFonts w:eastAsia="Calibri"/>
        </w:rPr>
        <w:t>ydany  przez jednostkę akredytowaną w Polsce i uprawnioną do certyfikacji w zakresie systemów zarządzania BHP.</w:t>
      </w:r>
    </w:p>
    <w:p w:rsidR="0074215C" w:rsidRPr="00D8655C" w:rsidRDefault="0074215C" w:rsidP="00812539">
      <w:pPr>
        <w:pStyle w:val="western"/>
        <w:numPr>
          <w:ilvl w:val="0"/>
          <w:numId w:val="4"/>
        </w:numPr>
        <w:shd w:val="clear" w:color="auto" w:fill="FFFFFF"/>
        <w:tabs>
          <w:tab w:val="left" w:pos="9164"/>
          <w:tab w:val="left" w:pos="9214"/>
        </w:tabs>
        <w:spacing w:after="0" w:afterAutospacing="0"/>
        <w:ind w:right="-50"/>
        <w:jc w:val="both"/>
        <w:rPr>
          <w:color w:val="333333"/>
        </w:rPr>
      </w:pPr>
      <w:r w:rsidRPr="00D8655C">
        <w:rPr>
          <w:rFonts w:eastAsia="Calibri"/>
        </w:rPr>
        <w:t xml:space="preserve">Certyfikat zgodności </w:t>
      </w:r>
      <w:r w:rsidR="0089000E">
        <w:rPr>
          <w:rFonts w:eastAsia="Calibri"/>
        </w:rPr>
        <w:t>w</w:t>
      </w:r>
      <w:r w:rsidR="00080DBE">
        <w:rPr>
          <w:rFonts w:eastAsia="Calibri"/>
        </w:rPr>
        <w:t>raz z</w:t>
      </w:r>
      <w:r w:rsidRPr="00D8655C">
        <w:rPr>
          <w:rFonts w:eastAsia="Calibri"/>
        </w:rPr>
        <w:t xml:space="preserve"> raport</w:t>
      </w:r>
      <w:r w:rsidR="00080DBE">
        <w:rPr>
          <w:rFonts w:eastAsia="Calibri"/>
        </w:rPr>
        <w:t>em szczegółowym</w:t>
      </w:r>
      <w:r w:rsidRPr="00D8655C">
        <w:rPr>
          <w:rFonts w:eastAsia="Calibri"/>
        </w:rPr>
        <w:t xml:space="preserve"> z badań zgodnie z normą PN-EN 14175-2,3 wydany przez niezależne, akredytowane w tym zakresie Laboratorium badawcze.</w:t>
      </w:r>
      <w:r w:rsidR="00080DBE">
        <w:rPr>
          <w:rFonts w:eastAsia="Calibri"/>
        </w:rPr>
        <w:t xml:space="preserve"> </w:t>
      </w:r>
    </w:p>
    <w:p w:rsidR="00C54D4F" w:rsidRPr="00D04301" w:rsidRDefault="00C54D4F" w:rsidP="00812539">
      <w:pPr>
        <w:pStyle w:val="Akapitzlist"/>
        <w:keepNext/>
        <w:numPr>
          <w:ilvl w:val="0"/>
          <w:numId w:val="4"/>
        </w:numPr>
        <w:spacing w:before="120" w:after="203"/>
        <w:jc w:val="both"/>
        <w:rPr>
          <w:rFonts w:ascii="Times New Roman" w:eastAsia="Calibri" w:hAnsi="Times New Roman" w:cs="Times New Roman"/>
          <w:color w:val="auto"/>
        </w:rPr>
      </w:pPr>
      <w:r w:rsidRPr="00D04301">
        <w:rPr>
          <w:rFonts w:ascii="Times New Roman" w:eastAsia="Calibri" w:hAnsi="Times New Roman" w:cs="Times New Roman"/>
          <w:color w:val="auto"/>
        </w:rPr>
        <w:t xml:space="preserve">W celu potwierdzenia parametrów </w:t>
      </w:r>
      <w:r w:rsidR="005E2098" w:rsidRPr="00D04301">
        <w:rPr>
          <w:rFonts w:ascii="Times New Roman" w:eastAsia="Calibri" w:hAnsi="Times New Roman" w:cs="Times New Roman"/>
          <w:color w:val="auto"/>
        </w:rPr>
        <w:t>zgodnych</w:t>
      </w:r>
      <w:r w:rsidRPr="00D04301">
        <w:rPr>
          <w:rFonts w:ascii="Times New Roman" w:eastAsia="Calibri" w:hAnsi="Times New Roman" w:cs="Times New Roman"/>
          <w:color w:val="auto"/>
        </w:rPr>
        <w:t xml:space="preserve"> z wymaganiami SIWZ do oferty należy dołączyć DTR wraz z rysunkami technicznymi dygestoriów</w:t>
      </w:r>
      <w:r w:rsidR="00E07369">
        <w:rPr>
          <w:rFonts w:ascii="Times New Roman" w:eastAsia="Calibri" w:hAnsi="Times New Roman" w:cs="Times New Roman"/>
          <w:color w:val="auto"/>
        </w:rPr>
        <w:t>.</w:t>
      </w:r>
    </w:p>
    <w:p w:rsidR="007B0BB2" w:rsidRPr="005E2098" w:rsidRDefault="00557AA2" w:rsidP="00812539">
      <w:pPr>
        <w:pStyle w:val="Akapitzlist"/>
        <w:keepNext/>
        <w:numPr>
          <w:ilvl w:val="0"/>
          <w:numId w:val="4"/>
        </w:numPr>
        <w:spacing w:before="120" w:after="203"/>
        <w:jc w:val="both"/>
        <w:rPr>
          <w:rFonts w:ascii="Times New Roman" w:eastAsia="Calibri" w:hAnsi="Times New Roman" w:cs="Times New Roman"/>
        </w:rPr>
      </w:pPr>
      <w:r w:rsidRPr="00CB6B64">
        <w:rPr>
          <w:rFonts w:ascii="Times New Roman" w:eastAsia="Calibri" w:hAnsi="Times New Roman" w:cs="Times New Roman"/>
        </w:rPr>
        <w:t>Elektroniczny Panel alarmowy dygestorium musi posiadać następujące badania wykonane prz</w:t>
      </w:r>
      <w:r w:rsidR="005E2098">
        <w:rPr>
          <w:rFonts w:ascii="Times New Roman" w:eastAsia="Calibri" w:hAnsi="Times New Roman" w:cs="Times New Roman"/>
        </w:rPr>
        <w:t xml:space="preserve">ez akredytowane w tym zakresie </w:t>
      </w:r>
      <w:r w:rsidRPr="00CB6B64">
        <w:rPr>
          <w:rFonts w:ascii="Times New Roman" w:eastAsia="Calibri" w:hAnsi="Times New Roman" w:cs="Times New Roman"/>
        </w:rPr>
        <w:t>laboratorium wzorcujące, które potwierdzają bezpieczną i stabilną pracę stero</w:t>
      </w:r>
      <w:r w:rsidR="00C54D4F">
        <w:rPr>
          <w:rFonts w:ascii="Times New Roman" w:eastAsia="Calibri" w:hAnsi="Times New Roman" w:cs="Times New Roman"/>
        </w:rPr>
        <w:t>wania i sygnalizacji alarmowej</w:t>
      </w:r>
      <w:r w:rsidR="00E07369">
        <w:rPr>
          <w:rFonts w:ascii="Times New Roman" w:eastAsia="Calibri" w:hAnsi="Times New Roman" w:cs="Times New Roman"/>
        </w:rPr>
        <w:t>:</w:t>
      </w:r>
      <w:r w:rsidR="00C54D4F">
        <w:rPr>
          <w:rFonts w:ascii="Times New Roman" w:eastAsia="Calibri" w:hAnsi="Times New Roman" w:cs="Times New Roman"/>
        </w:rPr>
        <w:t xml:space="preserve"> </w:t>
      </w:r>
    </w:p>
    <w:p w:rsidR="007B0BB2" w:rsidRPr="00CB6B64" w:rsidRDefault="007B0BB2" w:rsidP="00812539">
      <w:pPr>
        <w:pStyle w:val="Akapitzlist"/>
        <w:keepNext/>
        <w:numPr>
          <w:ilvl w:val="0"/>
          <w:numId w:val="5"/>
        </w:numPr>
        <w:spacing w:before="120" w:after="203"/>
        <w:ind w:left="1134"/>
        <w:jc w:val="both"/>
        <w:rPr>
          <w:rFonts w:ascii="Times New Roman" w:eastAsia="Calibri" w:hAnsi="Times New Roman" w:cs="Times New Roman"/>
          <w:color w:val="00000A"/>
        </w:rPr>
      </w:pPr>
      <w:r w:rsidRPr="00CB6B64">
        <w:rPr>
          <w:rFonts w:ascii="Times New Roman" w:eastAsia="Calibri" w:hAnsi="Times New Roman" w:cs="Times New Roman"/>
          <w:color w:val="00000A"/>
        </w:rPr>
        <w:t>Raport z badań odporności na wyładowania elektrostatyczne wg PN-EN 61000-4-2 : 2011 lub równoważnej</w:t>
      </w:r>
    </w:p>
    <w:p w:rsidR="007B0BB2" w:rsidRPr="00CB6B64" w:rsidRDefault="007B0BB2" w:rsidP="00812539">
      <w:pPr>
        <w:pStyle w:val="Akapitzlist"/>
        <w:keepNext/>
        <w:numPr>
          <w:ilvl w:val="0"/>
          <w:numId w:val="5"/>
        </w:numPr>
        <w:spacing w:before="120" w:after="203"/>
        <w:ind w:left="1134"/>
        <w:jc w:val="both"/>
        <w:rPr>
          <w:rFonts w:ascii="Times New Roman" w:eastAsia="Calibri" w:hAnsi="Times New Roman" w:cs="Times New Roman"/>
          <w:color w:val="00000A"/>
        </w:rPr>
      </w:pPr>
      <w:r w:rsidRPr="00CB6B64">
        <w:rPr>
          <w:rFonts w:ascii="Times New Roman" w:eastAsia="Calibri" w:hAnsi="Times New Roman" w:cs="Times New Roman"/>
          <w:color w:val="00000A"/>
        </w:rPr>
        <w:t xml:space="preserve">Raport z badań odporności  na promieniowane pole elektromagnetyczne </w:t>
      </w:r>
      <w:r w:rsidR="00E07369">
        <w:rPr>
          <w:rFonts w:ascii="Times New Roman" w:eastAsia="Calibri" w:hAnsi="Times New Roman" w:cs="Times New Roman"/>
          <w:color w:val="00000A"/>
        </w:rPr>
        <w:t xml:space="preserve">                                    </w:t>
      </w:r>
      <w:r w:rsidRPr="00CB6B64">
        <w:rPr>
          <w:rFonts w:ascii="Times New Roman" w:eastAsia="Calibri" w:hAnsi="Times New Roman" w:cs="Times New Roman"/>
          <w:color w:val="00000A"/>
        </w:rPr>
        <w:t>o częstotliwości radiowej wg PN-EN 61000-4-3:2007+A1:2008+IS1:2009+A2:2011 lub równoważnej</w:t>
      </w:r>
    </w:p>
    <w:p w:rsidR="007B0BB2" w:rsidRPr="00CB6B64" w:rsidRDefault="007B0BB2" w:rsidP="00812539">
      <w:pPr>
        <w:pStyle w:val="Akapitzlist"/>
        <w:keepNext/>
        <w:numPr>
          <w:ilvl w:val="0"/>
          <w:numId w:val="5"/>
        </w:numPr>
        <w:spacing w:before="120" w:after="203"/>
        <w:ind w:left="1134"/>
        <w:jc w:val="both"/>
        <w:rPr>
          <w:rFonts w:ascii="Times New Roman" w:eastAsia="Calibri" w:hAnsi="Times New Roman" w:cs="Times New Roman"/>
          <w:color w:val="00000A"/>
        </w:rPr>
      </w:pPr>
      <w:r w:rsidRPr="00CB6B64">
        <w:rPr>
          <w:rFonts w:ascii="Times New Roman" w:eastAsia="Calibri" w:hAnsi="Times New Roman" w:cs="Times New Roman"/>
          <w:color w:val="00000A"/>
        </w:rPr>
        <w:t>Raport z badań odporności na serie szybkich elektrycznych stanów przejściowych wg PN-EN 61000-4-4 : 2013-05 lub równoważnej</w:t>
      </w:r>
    </w:p>
    <w:p w:rsidR="007B0BB2" w:rsidRPr="00CB6B64" w:rsidRDefault="007B0BB2" w:rsidP="00812539">
      <w:pPr>
        <w:pStyle w:val="Akapitzlist"/>
        <w:keepNext/>
        <w:numPr>
          <w:ilvl w:val="0"/>
          <w:numId w:val="5"/>
        </w:numPr>
        <w:spacing w:before="120" w:after="203"/>
        <w:ind w:left="1134"/>
        <w:jc w:val="both"/>
        <w:rPr>
          <w:rFonts w:ascii="Times New Roman" w:eastAsia="Calibri" w:hAnsi="Times New Roman" w:cs="Times New Roman"/>
          <w:color w:val="00000A"/>
        </w:rPr>
      </w:pPr>
      <w:r w:rsidRPr="00CB6B64">
        <w:rPr>
          <w:rFonts w:ascii="Times New Roman" w:eastAsia="Calibri" w:hAnsi="Times New Roman" w:cs="Times New Roman"/>
          <w:color w:val="00000A"/>
        </w:rPr>
        <w:t>Raport z badań odporności na udary wg PN-EN 61000-4-5 : 2010 lub równoważnej</w:t>
      </w:r>
    </w:p>
    <w:p w:rsidR="007B0BB2" w:rsidRPr="00CB6B64" w:rsidRDefault="007B0BB2" w:rsidP="00812539">
      <w:pPr>
        <w:pStyle w:val="Akapitzlist"/>
        <w:keepNext/>
        <w:numPr>
          <w:ilvl w:val="0"/>
          <w:numId w:val="5"/>
        </w:numPr>
        <w:spacing w:before="120" w:after="203"/>
        <w:ind w:left="1134"/>
        <w:jc w:val="both"/>
        <w:rPr>
          <w:rFonts w:ascii="Times New Roman" w:eastAsia="Calibri" w:hAnsi="Times New Roman" w:cs="Times New Roman"/>
          <w:color w:val="00000A"/>
        </w:rPr>
      </w:pPr>
      <w:r w:rsidRPr="00CB6B64">
        <w:rPr>
          <w:rFonts w:ascii="Times New Roman" w:eastAsia="Calibri" w:hAnsi="Times New Roman" w:cs="Times New Roman"/>
          <w:color w:val="00000A"/>
        </w:rPr>
        <w:t xml:space="preserve">Raport z badań odporności na zaburzenia przewodzone, indukowane przez pola </w:t>
      </w:r>
      <w:r w:rsidR="00E07369">
        <w:rPr>
          <w:rFonts w:ascii="Times New Roman" w:eastAsia="Calibri" w:hAnsi="Times New Roman" w:cs="Times New Roman"/>
          <w:color w:val="00000A"/>
        </w:rPr>
        <w:t xml:space="preserve">                 </w:t>
      </w:r>
      <w:r w:rsidRPr="00CB6B64">
        <w:rPr>
          <w:rFonts w:ascii="Times New Roman" w:eastAsia="Calibri" w:hAnsi="Times New Roman" w:cs="Times New Roman"/>
          <w:color w:val="00000A"/>
        </w:rPr>
        <w:t>o częstotliwości radiowej wg PN-EN 61000-4-6:2014-04 lub równoważnej</w:t>
      </w:r>
    </w:p>
    <w:p w:rsidR="007B0BB2" w:rsidRPr="00CB6B64" w:rsidRDefault="007B0BB2" w:rsidP="00812539">
      <w:pPr>
        <w:pStyle w:val="Akapitzlist"/>
        <w:keepNext/>
        <w:numPr>
          <w:ilvl w:val="0"/>
          <w:numId w:val="5"/>
        </w:numPr>
        <w:spacing w:before="120" w:after="203"/>
        <w:ind w:left="1134"/>
        <w:jc w:val="both"/>
        <w:rPr>
          <w:rFonts w:ascii="Times New Roman" w:eastAsia="Calibri" w:hAnsi="Times New Roman" w:cs="Times New Roman"/>
          <w:color w:val="00000A"/>
        </w:rPr>
      </w:pPr>
      <w:r w:rsidRPr="00CB6B64">
        <w:rPr>
          <w:rFonts w:ascii="Times New Roman" w:eastAsia="Calibri" w:hAnsi="Times New Roman" w:cs="Times New Roman"/>
          <w:color w:val="00000A"/>
        </w:rPr>
        <w:t>Raport z badań odporności  na zapady i krótkie przerwy i zmiany napięcia wg PN-EN 61000-4-11:2007 lub równoważnej</w:t>
      </w:r>
    </w:p>
    <w:p w:rsidR="007B0BB2" w:rsidRPr="00CB6B64" w:rsidRDefault="007B0BB2" w:rsidP="00812539">
      <w:pPr>
        <w:pStyle w:val="Akapitzlist"/>
        <w:keepNext/>
        <w:numPr>
          <w:ilvl w:val="0"/>
          <w:numId w:val="5"/>
        </w:numPr>
        <w:spacing w:before="120" w:after="203"/>
        <w:ind w:left="1134"/>
        <w:jc w:val="both"/>
        <w:rPr>
          <w:rFonts w:ascii="Times New Roman" w:eastAsia="Calibri" w:hAnsi="Times New Roman" w:cs="Times New Roman"/>
          <w:color w:val="00000A"/>
        </w:rPr>
      </w:pPr>
      <w:r w:rsidRPr="00CB6B64">
        <w:rPr>
          <w:rFonts w:ascii="Times New Roman" w:eastAsia="Calibri" w:hAnsi="Times New Roman" w:cs="Times New Roman"/>
          <w:color w:val="00000A"/>
        </w:rPr>
        <w:t>Raport z badań odporności pomiaru elektromagnetycznych zaburzeń promieniowanych wg PN-EN 55016-2-1:2009+A1:2011+A2:2013-07 lub równoważnej</w:t>
      </w:r>
    </w:p>
    <w:p w:rsidR="007B0BB2" w:rsidRPr="00090790" w:rsidRDefault="007B0BB2" w:rsidP="00812539">
      <w:pPr>
        <w:pStyle w:val="Akapitzlist"/>
        <w:keepNext/>
        <w:numPr>
          <w:ilvl w:val="0"/>
          <w:numId w:val="5"/>
        </w:numPr>
        <w:spacing w:before="120" w:after="203"/>
        <w:ind w:left="1134"/>
        <w:jc w:val="both"/>
        <w:rPr>
          <w:rFonts w:ascii="Times New Roman" w:eastAsia="Calibri" w:hAnsi="Times New Roman" w:cs="Times New Roman"/>
          <w:color w:val="00000A"/>
        </w:rPr>
      </w:pPr>
      <w:r w:rsidRPr="00CB6B64">
        <w:rPr>
          <w:rFonts w:ascii="Times New Roman" w:eastAsia="Calibri" w:hAnsi="Times New Roman" w:cs="Times New Roman"/>
          <w:color w:val="00000A"/>
        </w:rPr>
        <w:t>Raport z badań pomiaru elektromagnetycznych zaburzeń promieniowanych wg PN-</w:t>
      </w:r>
      <w:r w:rsidRPr="00090790">
        <w:rPr>
          <w:rFonts w:ascii="Times New Roman" w:eastAsia="Calibri" w:hAnsi="Times New Roman" w:cs="Times New Roman"/>
          <w:color w:val="00000A"/>
        </w:rPr>
        <w:t>EN 55016-2-3:2010+A1:2010+Ap2:2013-06+AC:2013-06 lub równoważnej</w:t>
      </w:r>
    </w:p>
    <w:p w:rsidR="005E2098" w:rsidRPr="00090790" w:rsidRDefault="007B0BB2" w:rsidP="00090790">
      <w:pPr>
        <w:pStyle w:val="Bodytext40"/>
        <w:numPr>
          <w:ilvl w:val="0"/>
          <w:numId w:val="4"/>
        </w:numPr>
        <w:shd w:val="clear" w:color="auto" w:fill="auto"/>
        <w:spacing w:before="0"/>
        <w:ind w:left="714" w:hanging="35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90790">
        <w:rPr>
          <w:rFonts w:ascii="Times New Roman" w:hAnsi="Times New Roman" w:cs="Times New Roman"/>
          <w:color w:val="auto"/>
          <w:sz w:val="24"/>
          <w:szCs w:val="24"/>
        </w:rPr>
        <w:t>Certyfikat dotyczący antypoślizgowości w</w:t>
      </w:r>
      <w:r w:rsidR="00D8655C" w:rsidRPr="00090790">
        <w:rPr>
          <w:rFonts w:ascii="Times New Roman" w:hAnsi="Times New Roman" w:cs="Times New Roman"/>
          <w:color w:val="auto"/>
          <w:sz w:val="24"/>
          <w:szCs w:val="24"/>
        </w:rPr>
        <w:t xml:space="preserve"> oparciu o normę DIN 51130:2004,</w:t>
      </w:r>
      <w:r w:rsidRPr="00090790">
        <w:rPr>
          <w:rFonts w:ascii="Times New Roman" w:hAnsi="Times New Roman" w:cs="Times New Roman"/>
          <w:color w:val="auto"/>
          <w:sz w:val="24"/>
          <w:szCs w:val="24"/>
        </w:rPr>
        <w:t xml:space="preserve"> deklarację zgodnośc</w:t>
      </w:r>
      <w:r w:rsidR="00D8655C" w:rsidRPr="00090790">
        <w:rPr>
          <w:rFonts w:ascii="Times New Roman" w:hAnsi="Times New Roman" w:cs="Times New Roman"/>
          <w:color w:val="auto"/>
          <w:sz w:val="24"/>
          <w:szCs w:val="24"/>
        </w:rPr>
        <w:t>i oraz atest higieniczny wyrobu.</w:t>
      </w:r>
    </w:p>
    <w:p w:rsidR="005E2098" w:rsidRPr="00090790" w:rsidRDefault="005E2098" w:rsidP="00090790">
      <w:pPr>
        <w:pStyle w:val="Akapitzlist"/>
        <w:keepNext/>
        <w:numPr>
          <w:ilvl w:val="0"/>
          <w:numId w:val="4"/>
        </w:numPr>
        <w:spacing w:before="120" w:after="203"/>
        <w:ind w:left="714" w:hanging="357"/>
        <w:jc w:val="both"/>
        <w:rPr>
          <w:rFonts w:ascii="Times New Roman" w:eastAsia="Calibri" w:hAnsi="Times New Roman" w:cs="Times New Roman"/>
          <w:color w:val="auto"/>
        </w:rPr>
      </w:pPr>
      <w:r w:rsidRPr="00090790">
        <w:rPr>
          <w:rFonts w:ascii="Times New Roman" w:eastAsia="Calibri" w:hAnsi="Times New Roman" w:cs="Times New Roman"/>
          <w:color w:val="auto"/>
        </w:rPr>
        <w:t>Referencje na dostawę i montaż dygestoriów bez podwójnej ściany tylnej</w:t>
      </w:r>
      <w:r w:rsidR="00D04301" w:rsidRPr="00090790">
        <w:rPr>
          <w:rFonts w:ascii="Times New Roman" w:eastAsia="Calibri" w:hAnsi="Times New Roman" w:cs="Times New Roman"/>
          <w:color w:val="auto"/>
        </w:rPr>
        <w:t>.</w:t>
      </w:r>
    </w:p>
    <w:p w:rsidR="005B34B6" w:rsidRPr="00090790" w:rsidRDefault="00090790" w:rsidP="00090790">
      <w:pPr>
        <w:pStyle w:val="Akapitzlist"/>
        <w:keepNext/>
        <w:numPr>
          <w:ilvl w:val="0"/>
          <w:numId w:val="4"/>
        </w:numPr>
        <w:tabs>
          <w:tab w:val="left" w:pos="289"/>
        </w:tabs>
        <w:spacing w:before="120" w:after="1864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090790">
        <w:rPr>
          <w:rFonts w:ascii="Times New Roman" w:hAnsi="Times New Roman" w:cs="Times New Roman"/>
          <w:bCs/>
        </w:rPr>
        <w:t>Deklaracja zgodności z normą PN EN 14727:2006 – Meble laboratoryjne, meble laboratoryjne do przechowywania, wymagania i metody badań.</w:t>
      </w:r>
    </w:p>
    <w:sectPr w:rsidR="005B34B6" w:rsidRPr="00090790" w:rsidSect="00C22D60">
      <w:footerReference w:type="default" r:id="rId8"/>
      <w:pgSz w:w="11906" w:h="16838"/>
      <w:pgMar w:top="1500" w:right="1358" w:bottom="1318" w:left="1384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19E" w:rsidRDefault="00E0019E" w:rsidP="00C22D60">
      <w:r>
        <w:separator/>
      </w:r>
    </w:p>
  </w:endnote>
  <w:endnote w:type="continuationSeparator" w:id="0">
    <w:p w:rsidR="00E0019E" w:rsidRDefault="00E0019E" w:rsidP="00C2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38537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20E52" w:rsidRDefault="00D20E5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3ED5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3ED5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837F1B" w:rsidRDefault="00837F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19E" w:rsidRDefault="00E0019E" w:rsidP="00C22D60">
      <w:r>
        <w:separator/>
      </w:r>
    </w:p>
  </w:footnote>
  <w:footnote w:type="continuationSeparator" w:id="0">
    <w:p w:rsidR="00E0019E" w:rsidRDefault="00E0019E" w:rsidP="00C22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1C41"/>
    <w:multiLevelType w:val="multilevel"/>
    <w:tmpl w:val="2FAE8AE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" w15:restartNumberingAfterBreak="0">
    <w:nsid w:val="2B464828"/>
    <w:multiLevelType w:val="multilevel"/>
    <w:tmpl w:val="BC941044"/>
    <w:lvl w:ilvl="0">
      <w:start w:val="1"/>
      <w:numFmt w:val="bullet"/>
      <w:lvlText w:val="•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 w15:restartNumberingAfterBreak="0">
    <w:nsid w:val="3EBC7270"/>
    <w:multiLevelType w:val="multilevel"/>
    <w:tmpl w:val="E3B2C62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" w15:restartNumberingAfterBreak="0">
    <w:nsid w:val="50081478"/>
    <w:multiLevelType w:val="multilevel"/>
    <w:tmpl w:val="63F4E41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10108"/>
    <w:multiLevelType w:val="multilevel"/>
    <w:tmpl w:val="89CE3E90"/>
    <w:lvl w:ilvl="0">
      <w:start w:val="1"/>
      <w:numFmt w:val="lowerLetter"/>
      <w:lvlText w:val="%1)"/>
      <w:lvlJc w:val="left"/>
      <w:pPr>
        <w:ind w:left="720" w:hanging="360"/>
      </w:pPr>
      <w:rPr>
        <w:rFonts w:eastAsia="Calibri" w:cs="Calibri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5" w15:restartNumberingAfterBreak="0">
    <w:nsid w:val="586603BE"/>
    <w:multiLevelType w:val="multilevel"/>
    <w:tmpl w:val="596026C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6" w15:restartNumberingAfterBreak="0">
    <w:nsid w:val="60CC3A9F"/>
    <w:multiLevelType w:val="multilevel"/>
    <w:tmpl w:val="5D4246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D60"/>
    <w:rsid w:val="00055C81"/>
    <w:rsid w:val="00067C30"/>
    <w:rsid w:val="00080DBE"/>
    <w:rsid w:val="00090790"/>
    <w:rsid w:val="000D0CD4"/>
    <w:rsid w:val="000D1146"/>
    <w:rsid w:val="00181CE5"/>
    <w:rsid w:val="00191DE3"/>
    <w:rsid w:val="001B3B28"/>
    <w:rsid w:val="001E068D"/>
    <w:rsid w:val="001E39B9"/>
    <w:rsid w:val="00205BA4"/>
    <w:rsid w:val="002260BB"/>
    <w:rsid w:val="00235AA0"/>
    <w:rsid w:val="0025172E"/>
    <w:rsid w:val="00275AEF"/>
    <w:rsid w:val="0028519B"/>
    <w:rsid w:val="002B5597"/>
    <w:rsid w:val="0031501C"/>
    <w:rsid w:val="00337739"/>
    <w:rsid w:val="00342755"/>
    <w:rsid w:val="00342F6E"/>
    <w:rsid w:val="0037601E"/>
    <w:rsid w:val="003762AB"/>
    <w:rsid w:val="00377FFB"/>
    <w:rsid w:val="00385029"/>
    <w:rsid w:val="003A35E8"/>
    <w:rsid w:val="003A4993"/>
    <w:rsid w:val="003D7C4F"/>
    <w:rsid w:val="003E3E59"/>
    <w:rsid w:val="003E3ED5"/>
    <w:rsid w:val="003E54B0"/>
    <w:rsid w:val="0041544D"/>
    <w:rsid w:val="00433557"/>
    <w:rsid w:val="004451FF"/>
    <w:rsid w:val="00457EC8"/>
    <w:rsid w:val="00474B82"/>
    <w:rsid w:val="004819EF"/>
    <w:rsid w:val="0048680B"/>
    <w:rsid w:val="004A527B"/>
    <w:rsid w:val="004B22BC"/>
    <w:rsid w:val="004C3F27"/>
    <w:rsid w:val="004E2DE0"/>
    <w:rsid w:val="00501AAD"/>
    <w:rsid w:val="005110A4"/>
    <w:rsid w:val="00513E22"/>
    <w:rsid w:val="00557AA2"/>
    <w:rsid w:val="00572CF3"/>
    <w:rsid w:val="00576C47"/>
    <w:rsid w:val="00580171"/>
    <w:rsid w:val="00580EE4"/>
    <w:rsid w:val="005917B0"/>
    <w:rsid w:val="00591E26"/>
    <w:rsid w:val="005B34B6"/>
    <w:rsid w:val="005C5F92"/>
    <w:rsid w:val="005D4A19"/>
    <w:rsid w:val="005E2098"/>
    <w:rsid w:val="005F1A54"/>
    <w:rsid w:val="006074B5"/>
    <w:rsid w:val="00624CB3"/>
    <w:rsid w:val="0062523E"/>
    <w:rsid w:val="00633A1C"/>
    <w:rsid w:val="00636228"/>
    <w:rsid w:val="006503B2"/>
    <w:rsid w:val="00694A71"/>
    <w:rsid w:val="006B40A3"/>
    <w:rsid w:val="006D7AF2"/>
    <w:rsid w:val="00701A6B"/>
    <w:rsid w:val="0072009C"/>
    <w:rsid w:val="0074215C"/>
    <w:rsid w:val="00762D4C"/>
    <w:rsid w:val="007A15DE"/>
    <w:rsid w:val="007B0BB2"/>
    <w:rsid w:val="007C16DE"/>
    <w:rsid w:val="007C6D9B"/>
    <w:rsid w:val="007E252A"/>
    <w:rsid w:val="007F0490"/>
    <w:rsid w:val="00802879"/>
    <w:rsid w:val="00812539"/>
    <w:rsid w:val="00814A81"/>
    <w:rsid w:val="00814FBC"/>
    <w:rsid w:val="00837F1B"/>
    <w:rsid w:val="00840048"/>
    <w:rsid w:val="00843155"/>
    <w:rsid w:val="0086095F"/>
    <w:rsid w:val="0089000E"/>
    <w:rsid w:val="008D0265"/>
    <w:rsid w:val="008D1117"/>
    <w:rsid w:val="008E6DA5"/>
    <w:rsid w:val="008F6183"/>
    <w:rsid w:val="00916A5D"/>
    <w:rsid w:val="0092394E"/>
    <w:rsid w:val="00956DFE"/>
    <w:rsid w:val="00980246"/>
    <w:rsid w:val="00986739"/>
    <w:rsid w:val="009A445E"/>
    <w:rsid w:val="009A53C8"/>
    <w:rsid w:val="009B2800"/>
    <w:rsid w:val="009C0865"/>
    <w:rsid w:val="009C24DD"/>
    <w:rsid w:val="009F028D"/>
    <w:rsid w:val="009F47B0"/>
    <w:rsid w:val="009F6F2D"/>
    <w:rsid w:val="00A062AE"/>
    <w:rsid w:val="00A47002"/>
    <w:rsid w:val="00A94426"/>
    <w:rsid w:val="00AB036E"/>
    <w:rsid w:val="00AB61E7"/>
    <w:rsid w:val="00AC7B3A"/>
    <w:rsid w:val="00AF15BB"/>
    <w:rsid w:val="00AF634F"/>
    <w:rsid w:val="00B13C8E"/>
    <w:rsid w:val="00B51808"/>
    <w:rsid w:val="00B877B6"/>
    <w:rsid w:val="00B91C3A"/>
    <w:rsid w:val="00BB509E"/>
    <w:rsid w:val="00BB6D3D"/>
    <w:rsid w:val="00BD78FD"/>
    <w:rsid w:val="00BE3DBC"/>
    <w:rsid w:val="00C11FF3"/>
    <w:rsid w:val="00C22D60"/>
    <w:rsid w:val="00C54D4F"/>
    <w:rsid w:val="00C571F6"/>
    <w:rsid w:val="00C75A54"/>
    <w:rsid w:val="00C86A3F"/>
    <w:rsid w:val="00C918F6"/>
    <w:rsid w:val="00CB6B64"/>
    <w:rsid w:val="00CC46E4"/>
    <w:rsid w:val="00CE7DA7"/>
    <w:rsid w:val="00CF7D2F"/>
    <w:rsid w:val="00D04301"/>
    <w:rsid w:val="00D20E52"/>
    <w:rsid w:val="00D3239C"/>
    <w:rsid w:val="00D4109A"/>
    <w:rsid w:val="00D52D17"/>
    <w:rsid w:val="00D54031"/>
    <w:rsid w:val="00D77006"/>
    <w:rsid w:val="00D846C4"/>
    <w:rsid w:val="00D8655C"/>
    <w:rsid w:val="00DB4D7B"/>
    <w:rsid w:val="00DE0723"/>
    <w:rsid w:val="00DE3308"/>
    <w:rsid w:val="00E0019E"/>
    <w:rsid w:val="00E07369"/>
    <w:rsid w:val="00E26094"/>
    <w:rsid w:val="00E30FC6"/>
    <w:rsid w:val="00E374E4"/>
    <w:rsid w:val="00E52C57"/>
    <w:rsid w:val="00E63BAF"/>
    <w:rsid w:val="00E650D1"/>
    <w:rsid w:val="00E67579"/>
    <w:rsid w:val="00E80534"/>
    <w:rsid w:val="00EA3F52"/>
    <w:rsid w:val="00EE199C"/>
    <w:rsid w:val="00EF1BC5"/>
    <w:rsid w:val="00F038D0"/>
    <w:rsid w:val="00F131B1"/>
    <w:rsid w:val="00F2444A"/>
    <w:rsid w:val="00F364F2"/>
    <w:rsid w:val="00F5185D"/>
    <w:rsid w:val="00F5624A"/>
    <w:rsid w:val="00F579A6"/>
    <w:rsid w:val="00F678D0"/>
    <w:rsid w:val="00F70AC7"/>
    <w:rsid w:val="00F92AC9"/>
    <w:rsid w:val="00FB01BD"/>
    <w:rsid w:val="00FB2026"/>
    <w:rsid w:val="00FD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99DD6-BF51-4DB4-81D7-C287DA53A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2D60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C22D60"/>
    <w:rPr>
      <w:color w:val="0066CC"/>
      <w:u w:val="single"/>
    </w:rPr>
  </w:style>
  <w:style w:type="character" w:customStyle="1" w:styleId="Heading2">
    <w:name w:val="Heading #2_"/>
    <w:basedOn w:val="Domylnaczcionkaakapitu"/>
    <w:link w:val="Heading20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Heading21">
    <w:name w:val="Heading #2"/>
    <w:basedOn w:val="Heading2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Headerorfooter">
    <w:name w:val="Header or footer_"/>
    <w:basedOn w:val="Domylnaczcionkaakapitu"/>
    <w:link w:val="Headerorfooter0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Headerorfooter1">
    <w:name w:val="Header or footer"/>
    <w:basedOn w:val="Headerorfooter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qFormat/>
    <w:rsid w:val="00C22D6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Bodytext21">
    <w:name w:val="Body text (2)"/>
    <w:basedOn w:val="Bodytext2"/>
    <w:qFormat/>
    <w:rsid w:val="00C22D6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Bodytext275ptItalic">
    <w:name w:val="Body text (2) + 7.5 pt;Italic"/>
    <w:basedOn w:val="Bodytext2"/>
    <w:qFormat/>
    <w:rsid w:val="00C22D60"/>
    <w:rPr>
      <w:rFonts w:ascii="Calibri" w:eastAsia="Calibri" w:hAnsi="Calibri" w:cs="Calibri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5"/>
      <w:szCs w:val="15"/>
      <w:u w:val="none"/>
      <w:lang w:val="pl-PL" w:eastAsia="pl-PL" w:bidi="pl-PL"/>
    </w:rPr>
  </w:style>
  <w:style w:type="character" w:customStyle="1" w:styleId="Bodytext3">
    <w:name w:val="Body text (3)_"/>
    <w:basedOn w:val="Domylnaczcionkaakapitu"/>
    <w:link w:val="Bodytext30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Bodytext3NotBold">
    <w:name w:val="Body text (3) + Not Bold"/>
    <w:basedOn w:val="Bodytext3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Bodytext212ptBoldScale75">
    <w:name w:val="Body text (2) + 12 pt;Bold;Scale 75%"/>
    <w:basedOn w:val="Bodytext2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75"/>
      <w:sz w:val="24"/>
      <w:szCs w:val="24"/>
      <w:u w:val="none"/>
      <w:lang w:val="pl-PL" w:eastAsia="pl-PL" w:bidi="pl-PL"/>
    </w:rPr>
  </w:style>
  <w:style w:type="character" w:customStyle="1" w:styleId="Bodytext2Bold">
    <w:name w:val="Body text (2) + Bold"/>
    <w:basedOn w:val="Bodytext2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Bodytext31">
    <w:name w:val="Body text (3)"/>
    <w:basedOn w:val="Bodytext3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Heading1">
    <w:name w:val="Heading #1_"/>
    <w:basedOn w:val="Domylnaczcionkaakapitu"/>
    <w:link w:val="Heading10"/>
    <w:qFormat/>
    <w:rsid w:val="00C22D60"/>
    <w:rPr>
      <w:rFonts w:ascii="Impact" w:eastAsia="Impact" w:hAnsi="Impact" w:cs="Impact"/>
      <w:b w:val="0"/>
      <w:bCs w:val="0"/>
      <w:i w:val="0"/>
      <w:iCs w:val="0"/>
      <w:caps w:val="0"/>
      <w:smallCaps w:val="0"/>
      <w:strike w:val="0"/>
      <w:dstrike w:val="0"/>
      <w:w w:val="100"/>
      <w:sz w:val="17"/>
      <w:szCs w:val="17"/>
      <w:u w:val="none"/>
    </w:rPr>
  </w:style>
  <w:style w:type="character" w:customStyle="1" w:styleId="Heading1Calibri12ptBoldScale75">
    <w:name w:val="Heading #1 + Calibri;12 pt;Bold;Scale 75%"/>
    <w:basedOn w:val="Heading1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75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qFormat/>
    <w:rsid w:val="00C22D6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sz w:val="17"/>
      <w:szCs w:val="17"/>
      <w:u w:val="non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45D65"/>
    <w:rPr>
      <w:color w:val="000000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B45D65"/>
    <w:rPr>
      <w:color w:val="000000"/>
    </w:rPr>
  </w:style>
  <w:style w:type="character" w:customStyle="1" w:styleId="ListLabel1">
    <w:name w:val="ListLabel 1"/>
    <w:qFormat/>
    <w:rsid w:val="00C22D60"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2">
    <w:name w:val="ListLabel 2"/>
    <w:qFormat/>
    <w:rsid w:val="00C22D60"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3">
    <w:name w:val="ListLabel 3"/>
    <w:qFormat/>
    <w:rsid w:val="00C22D60"/>
    <w:rPr>
      <w:rFonts w:eastAsia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4">
    <w:name w:val="ListLabel 4"/>
    <w:qFormat/>
    <w:rsid w:val="00C22D60"/>
    <w:rPr>
      <w:rFonts w:cs="Courier New"/>
    </w:rPr>
  </w:style>
  <w:style w:type="character" w:customStyle="1" w:styleId="ListLabel5">
    <w:name w:val="ListLabel 5"/>
    <w:qFormat/>
    <w:rsid w:val="00C22D60"/>
    <w:rPr>
      <w:rFonts w:cs="Courier New"/>
    </w:rPr>
  </w:style>
  <w:style w:type="character" w:customStyle="1" w:styleId="ListLabel6">
    <w:name w:val="ListLabel 6"/>
    <w:qFormat/>
    <w:rsid w:val="00C22D60"/>
    <w:rPr>
      <w:rFonts w:cs="Courier New"/>
    </w:rPr>
  </w:style>
  <w:style w:type="character" w:customStyle="1" w:styleId="ListLabel7">
    <w:name w:val="ListLabel 7"/>
    <w:qFormat/>
    <w:rsid w:val="00C22D60"/>
    <w:rPr>
      <w:rFonts w:cs="Courier New"/>
    </w:rPr>
  </w:style>
  <w:style w:type="character" w:customStyle="1" w:styleId="ListLabel8">
    <w:name w:val="ListLabel 8"/>
    <w:qFormat/>
    <w:rsid w:val="00C22D60"/>
    <w:rPr>
      <w:rFonts w:cs="Courier New"/>
    </w:rPr>
  </w:style>
  <w:style w:type="character" w:customStyle="1" w:styleId="ListLabel9">
    <w:name w:val="ListLabel 9"/>
    <w:qFormat/>
    <w:rsid w:val="00C22D60"/>
    <w:rPr>
      <w:rFonts w:cs="Courier New"/>
    </w:rPr>
  </w:style>
  <w:style w:type="character" w:customStyle="1" w:styleId="ListLabel10">
    <w:name w:val="ListLabel 10"/>
    <w:qFormat/>
    <w:rsid w:val="00C22D60"/>
    <w:rPr>
      <w:rFonts w:cs="Courier New"/>
    </w:rPr>
  </w:style>
  <w:style w:type="character" w:customStyle="1" w:styleId="ListLabel11">
    <w:name w:val="ListLabel 11"/>
    <w:qFormat/>
    <w:rsid w:val="00C22D60"/>
    <w:rPr>
      <w:rFonts w:cs="Courier New"/>
    </w:rPr>
  </w:style>
  <w:style w:type="character" w:customStyle="1" w:styleId="ListLabel12">
    <w:name w:val="ListLabel 12"/>
    <w:qFormat/>
    <w:rsid w:val="00C22D60"/>
    <w:rPr>
      <w:rFonts w:ascii="Calibri" w:hAnsi="Calibri" w:cs="Courier New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3">
    <w:name w:val="ListLabel 13"/>
    <w:qFormat/>
    <w:rsid w:val="00C22D60"/>
    <w:rPr>
      <w:rFonts w:cs="Courier New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paragraph" w:styleId="Nagwek">
    <w:name w:val="header"/>
    <w:basedOn w:val="Normalny"/>
    <w:next w:val="Tekstpodstawowy"/>
    <w:link w:val="NagwekZnak"/>
    <w:qFormat/>
    <w:rsid w:val="00C22D6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C22D60"/>
    <w:pPr>
      <w:spacing w:after="140" w:line="288" w:lineRule="auto"/>
    </w:pPr>
  </w:style>
  <w:style w:type="paragraph" w:styleId="Lista">
    <w:name w:val="List"/>
    <w:basedOn w:val="Tekstpodstawowy"/>
    <w:rsid w:val="00C22D60"/>
    <w:rPr>
      <w:rFonts w:cs="Mangal"/>
    </w:rPr>
  </w:style>
  <w:style w:type="paragraph" w:customStyle="1" w:styleId="Legenda1">
    <w:name w:val="Legenda1"/>
    <w:basedOn w:val="Normalny"/>
    <w:qFormat/>
    <w:rsid w:val="00C22D6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C22D60"/>
    <w:pPr>
      <w:suppressLineNumbers/>
    </w:pPr>
    <w:rPr>
      <w:rFonts w:cs="Mangal"/>
    </w:rPr>
  </w:style>
  <w:style w:type="paragraph" w:customStyle="1" w:styleId="Heading20">
    <w:name w:val="Heading #2"/>
    <w:basedOn w:val="Normalny"/>
    <w:link w:val="Heading2"/>
    <w:qFormat/>
    <w:rsid w:val="00C22D60"/>
    <w:pPr>
      <w:shd w:val="clear" w:color="auto" w:fill="FFFFFF"/>
      <w:spacing w:line="250" w:lineRule="exact"/>
      <w:jc w:val="both"/>
      <w:outlineLvl w:val="1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Headerorfooter0">
    <w:name w:val="Header or footer"/>
    <w:basedOn w:val="Normalny"/>
    <w:link w:val="Headerorfooter"/>
    <w:qFormat/>
    <w:rsid w:val="00C22D60"/>
    <w:pPr>
      <w:shd w:val="clear" w:color="auto" w:fill="FFFFFF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Bodytext20">
    <w:name w:val="Body text (2)"/>
    <w:basedOn w:val="Normalny"/>
    <w:link w:val="Bodytext2"/>
    <w:qFormat/>
    <w:rsid w:val="00C22D60"/>
    <w:pPr>
      <w:shd w:val="clear" w:color="auto" w:fill="FFFFFF"/>
      <w:spacing w:line="250" w:lineRule="exact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Bodytext30">
    <w:name w:val="Body text (3)"/>
    <w:basedOn w:val="Normalny"/>
    <w:link w:val="Bodytext3"/>
    <w:qFormat/>
    <w:rsid w:val="00C22D60"/>
    <w:pPr>
      <w:shd w:val="clear" w:color="auto" w:fill="FFFFFF"/>
      <w:spacing w:line="250" w:lineRule="exact"/>
      <w:ind w:hanging="360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Heading10">
    <w:name w:val="Heading #1"/>
    <w:basedOn w:val="Normalny"/>
    <w:link w:val="Heading1"/>
    <w:qFormat/>
    <w:rsid w:val="00C22D60"/>
    <w:pPr>
      <w:shd w:val="clear" w:color="auto" w:fill="FFFFFF"/>
      <w:spacing w:before="1860"/>
      <w:outlineLvl w:val="0"/>
    </w:pPr>
    <w:rPr>
      <w:rFonts w:ascii="Impact" w:eastAsia="Impact" w:hAnsi="Impact" w:cs="Impact"/>
      <w:sz w:val="17"/>
      <w:szCs w:val="17"/>
    </w:rPr>
  </w:style>
  <w:style w:type="paragraph" w:customStyle="1" w:styleId="Bodytext40">
    <w:name w:val="Body text (4)"/>
    <w:basedOn w:val="Normalny"/>
    <w:link w:val="Bodytext4"/>
    <w:qFormat/>
    <w:rsid w:val="00C22D60"/>
    <w:pPr>
      <w:shd w:val="clear" w:color="auto" w:fill="FFFFFF"/>
      <w:spacing w:before="120"/>
    </w:pPr>
    <w:rPr>
      <w:rFonts w:ascii="Calibri" w:eastAsia="Calibri" w:hAnsi="Calibri" w:cs="Calibri"/>
      <w:sz w:val="17"/>
      <w:szCs w:val="17"/>
    </w:rPr>
  </w:style>
  <w:style w:type="paragraph" w:customStyle="1" w:styleId="Nagwek1">
    <w:name w:val="Nagłówek1"/>
    <w:basedOn w:val="Normalny"/>
    <w:uiPriority w:val="99"/>
    <w:unhideWhenUsed/>
    <w:rsid w:val="00B45D65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B45D65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232940"/>
    <w:pPr>
      <w:ind w:left="720"/>
      <w:contextualSpacing/>
    </w:pPr>
  </w:style>
  <w:style w:type="paragraph" w:customStyle="1" w:styleId="Default">
    <w:name w:val="Default"/>
    <w:rsid w:val="00D846C4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styleId="Stopka">
    <w:name w:val="footer"/>
    <w:basedOn w:val="Normalny"/>
    <w:link w:val="StopkaZnak1"/>
    <w:uiPriority w:val="99"/>
    <w:unhideWhenUsed/>
    <w:rsid w:val="00837F1B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37F1B"/>
    <w:rPr>
      <w:color w:val="000000"/>
    </w:rPr>
  </w:style>
  <w:style w:type="paragraph" w:customStyle="1" w:styleId="western">
    <w:name w:val="western"/>
    <w:basedOn w:val="Normalny"/>
    <w:rsid w:val="005B34B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Domylnaczcionkaakapitu"/>
    <w:rsid w:val="005B34B6"/>
  </w:style>
  <w:style w:type="paragraph" w:styleId="Tekstdymka">
    <w:name w:val="Balloon Text"/>
    <w:basedOn w:val="Normalny"/>
    <w:link w:val="TekstdymkaZnak"/>
    <w:uiPriority w:val="99"/>
    <w:semiHidden/>
    <w:unhideWhenUsed/>
    <w:rsid w:val="007C16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6D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22A0A-951B-44DE-BB27-86B249B20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2694</Words>
  <Characters>16168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18825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Image</dc:subject>
  <dc:creator>Pol-Lab</dc:creator>
  <cp:lastModifiedBy>Katarzyna Kaczorowska</cp:lastModifiedBy>
  <cp:revision>2</cp:revision>
  <cp:lastPrinted>2018-08-27T08:20:00Z</cp:lastPrinted>
  <dcterms:created xsi:type="dcterms:W3CDTF">2018-08-29T08:54:00Z</dcterms:created>
  <dcterms:modified xsi:type="dcterms:W3CDTF">2018-08-29T08:54:00Z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