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E23" w:rsidRPr="00D4263B" w:rsidRDefault="00C07E23">
      <w:pPr>
        <w:pStyle w:val="Nagwek3"/>
        <w:rPr>
          <w:rFonts w:ascii="Times New Roman" w:hAnsi="Times New Roman"/>
          <w:color w:val="000000" w:themeColor="text1"/>
          <w:sz w:val="24"/>
          <w:szCs w:val="24"/>
        </w:rPr>
      </w:pPr>
    </w:p>
    <w:p w:rsidR="00C07E23" w:rsidRPr="00D4263B" w:rsidRDefault="009F1F18" w:rsidP="009F1F18">
      <w:pPr>
        <w:jc w:val="right"/>
        <w:rPr>
          <w:color w:val="000000" w:themeColor="text1"/>
          <w:sz w:val="24"/>
          <w:szCs w:val="24"/>
        </w:rPr>
      </w:pPr>
      <w:r w:rsidRPr="00D4263B">
        <w:rPr>
          <w:color w:val="000000" w:themeColor="text1"/>
          <w:sz w:val="24"/>
          <w:szCs w:val="24"/>
        </w:rPr>
        <w:t xml:space="preserve">Zał. nr 2 do SIWZ </w:t>
      </w:r>
    </w:p>
    <w:p w:rsidR="00C07E23" w:rsidRPr="00D4263B" w:rsidRDefault="00C07E23">
      <w:pPr>
        <w:spacing w:line="360" w:lineRule="auto"/>
        <w:rPr>
          <w:color w:val="000000" w:themeColor="text1"/>
          <w:sz w:val="24"/>
          <w:szCs w:val="24"/>
        </w:rPr>
      </w:pPr>
    </w:p>
    <w:p w:rsidR="00C07E23" w:rsidRPr="00D4263B" w:rsidRDefault="000456D0">
      <w:pPr>
        <w:pStyle w:val="Nagwek4"/>
        <w:rPr>
          <w:rFonts w:ascii="Times New Roman" w:hAnsi="Times New Roman"/>
          <w:color w:val="000000" w:themeColor="text1"/>
          <w:szCs w:val="24"/>
        </w:rPr>
      </w:pPr>
      <w:r w:rsidRPr="00D4263B">
        <w:rPr>
          <w:rFonts w:ascii="Times New Roman" w:hAnsi="Times New Roman"/>
          <w:color w:val="000000" w:themeColor="text1"/>
          <w:szCs w:val="24"/>
        </w:rPr>
        <w:t xml:space="preserve">SZCZEGÓŁOWY OPIS TEMATU ZAMÓWIENIA </w:t>
      </w:r>
    </w:p>
    <w:p w:rsidR="00C07E23" w:rsidRPr="00D4263B" w:rsidRDefault="000456D0">
      <w:pPr>
        <w:spacing w:before="120" w:line="360" w:lineRule="auto"/>
        <w:jc w:val="center"/>
        <w:rPr>
          <w:b/>
          <w:color w:val="000000" w:themeColor="text1"/>
          <w:sz w:val="24"/>
          <w:szCs w:val="24"/>
        </w:rPr>
      </w:pPr>
      <w:r w:rsidRPr="00D4263B">
        <w:rPr>
          <w:b/>
          <w:color w:val="000000" w:themeColor="text1"/>
          <w:sz w:val="24"/>
          <w:szCs w:val="24"/>
        </w:rPr>
        <w:t>prowadzonego w trybie „</w:t>
      </w:r>
      <w:r w:rsidR="00FF6E3A" w:rsidRPr="00D4263B">
        <w:rPr>
          <w:b/>
          <w:color w:val="000000" w:themeColor="text1"/>
          <w:sz w:val="24"/>
          <w:szCs w:val="24"/>
        </w:rPr>
        <w:t>przetarg nieograniczony</w:t>
      </w:r>
      <w:r w:rsidRPr="00D4263B">
        <w:rPr>
          <w:b/>
          <w:color w:val="000000" w:themeColor="text1"/>
          <w:sz w:val="24"/>
          <w:szCs w:val="24"/>
        </w:rPr>
        <w:t>” na „</w:t>
      </w:r>
      <w:r w:rsidR="0066758D">
        <w:rPr>
          <w:b/>
          <w:color w:val="000000" w:themeColor="text1"/>
          <w:sz w:val="24"/>
          <w:szCs w:val="24"/>
        </w:rPr>
        <w:t>Dostawa akcelerometrów</w:t>
      </w:r>
      <w:r w:rsidR="00FF6E3A" w:rsidRPr="00D4263B">
        <w:rPr>
          <w:b/>
          <w:color w:val="000000" w:themeColor="text1"/>
          <w:sz w:val="24"/>
          <w:szCs w:val="24"/>
        </w:rPr>
        <w:t xml:space="preserve"> IEPE wraz z akcesoriami. Dostawa komputera przemysłowego z modułami i oprogramowaniem.</w:t>
      </w:r>
      <w:r w:rsidRPr="00D4263B">
        <w:rPr>
          <w:b/>
          <w:color w:val="000000" w:themeColor="text1"/>
          <w:sz w:val="24"/>
          <w:szCs w:val="24"/>
        </w:rPr>
        <w:t>”</w:t>
      </w:r>
      <w:bookmarkStart w:id="0" w:name="_GoBack"/>
      <w:bookmarkEnd w:id="0"/>
    </w:p>
    <w:p w:rsidR="00C07E23" w:rsidRPr="00D4263B" w:rsidRDefault="00C07E23">
      <w:pPr>
        <w:spacing w:line="360" w:lineRule="auto"/>
        <w:ind w:hanging="284"/>
        <w:rPr>
          <w:color w:val="000000" w:themeColor="text1"/>
          <w:sz w:val="24"/>
          <w:szCs w:val="24"/>
        </w:rPr>
      </w:pPr>
    </w:p>
    <w:p w:rsidR="00C07E23" w:rsidRPr="00D4263B" w:rsidRDefault="00C07E23">
      <w:pPr>
        <w:spacing w:line="360" w:lineRule="auto"/>
        <w:ind w:hanging="284"/>
        <w:rPr>
          <w:color w:val="000000" w:themeColor="text1"/>
          <w:sz w:val="24"/>
          <w:szCs w:val="24"/>
        </w:rPr>
      </w:pPr>
    </w:p>
    <w:tbl>
      <w:tblPr>
        <w:tblW w:w="14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9"/>
        <w:gridCol w:w="2375"/>
        <w:gridCol w:w="11340"/>
      </w:tblGrid>
      <w:tr w:rsidR="00D4263B" w:rsidRPr="00D4263B" w:rsidTr="009F1F18">
        <w:tc>
          <w:tcPr>
            <w:tcW w:w="1239" w:type="dxa"/>
          </w:tcPr>
          <w:p w:rsidR="00C07E23" w:rsidRPr="00D4263B" w:rsidRDefault="000456D0">
            <w:pPr>
              <w:spacing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4263B">
              <w:rPr>
                <w:b/>
                <w:color w:val="000000" w:themeColor="text1"/>
                <w:sz w:val="24"/>
                <w:szCs w:val="24"/>
              </w:rPr>
              <w:t>Zadanie nr</w:t>
            </w:r>
          </w:p>
        </w:tc>
        <w:tc>
          <w:tcPr>
            <w:tcW w:w="2375" w:type="dxa"/>
          </w:tcPr>
          <w:p w:rsidR="00C07E23" w:rsidRPr="00D4263B" w:rsidRDefault="000456D0">
            <w:pPr>
              <w:spacing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4263B">
              <w:rPr>
                <w:b/>
                <w:color w:val="000000" w:themeColor="text1"/>
                <w:sz w:val="24"/>
                <w:szCs w:val="24"/>
              </w:rPr>
              <w:t>Nazwa zadania</w:t>
            </w:r>
          </w:p>
        </w:tc>
        <w:tc>
          <w:tcPr>
            <w:tcW w:w="11340" w:type="dxa"/>
          </w:tcPr>
          <w:p w:rsidR="00C07E23" w:rsidRPr="00D4263B" w:rsidRDefault="000456D0">
            <w:pPr>
              <w:spacing w:line="36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4263B">
              <w:rPr>
                <w:b/>
                <w:color w:val="000000" w:themeColor="text1"/>
                <w:sz w:val="24"/>
                <w:szCs w:val="24"/>
              </w:rPr>
              <w:t>Opis zadania</w:t>
            </w:r>
          </w:p>
        </w:tc>
      </w:tr>
      <w:tr w:rsidR="00D4263B" w:rsidRPr="00D4263B" w:rsidTr="009F1F18">
        <w:tc>
          <w:tcPr>
            <w:tcW w:w="1239" w:type="dxa"/>
          </w:tcPr>
          <w:p w:rsidR="00FF6E3A" w:rsidRPr="00D4263B" w:rsidRDefault="00FF6E3A" w:rsidP="003D5BF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F6E3A" w:rsidRPr="00D4263B" w:rsidRDefault="00FF6E3A" w:rsidP="003D5BF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75" w:type="dxa"/>
          </w:tcPr>
          <w:p w:rsidR="00FF6E3A" w:rsidRPr="0066758D" w:rsidRDefault="00FF6E3A" w:rsidP="003D5BFD">
            <w:pPr>
              <w:rPr>
                <w:color w:val="000000" w:themeColor="text1"/>
                <w:sz w:val="24"/>
                <w:szCs w:val="24"/>
              </w:rPr>
            </w:pPr>
          </w:p>
          <w:p w:rsidR="00FF6E3A" w:rsidRPr="00D4263B" w:rsidRDefault="0066758D" w:rsidP="003D5BFD">
            <w:pPr>
              <w:rPr>
                <w:color w:val="000000" w:themeColor="text1"/>
                <w:sz w:val="24"/>
                <w:szCs w:val="24"/>
              </w:rPr>
            </w:pPr>
            <w:r w:rsidRPr="0066758D">
              <w:rPr>
                <w:color w:val="000000"/>
                <w:sz w:val="24"/>
                <w:szCs w:val="24"/>
              </w:rPr>
              <w:t>Dostawa akcelerometrów IEPE wraz z akcesoriami</w:t>
            </w:r>
          </w:p>
        </w:tc>
        <w:tc>
          <w:tcPr>
            <w:tcW w:w="11340" w:type="dxa"/>
          </w:tcPr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Przedmiotem zamówienia jest: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 Akcelerometr IEPE (14 szt.) o parametrach: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czułość: 100mV/g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waga: ok. 10g</w:t>
            </w:r>
          </w:p>
          <w:p w:rsidR="0018380F" w:rsidRP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złącze: 10-32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złącze montażowe: 10-32 X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pasmo przenoszenia +/-10%: 1-10000 Hz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częstotliwość rezonansowa: &gt; 36 kHz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max. wibracja: 400 </w:t>
            </w:r>
            <w:proofErr w:type="spellStart"/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Gpeak</w:t>
            </w:r>
            <w:proofErr w:type="spellEnd"/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max. wstrząs: 2000 </w:t>
            </w:r>
            <w:proofErr w:type="spellStart"/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Gpeak</w:t>
            </w:r>
            <w:proofErr w:type="spellEnd"/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zasilanie: 2-20 mA, 18-30 V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impedancja wyjściowa: 100 om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- </w:t>
            </w:r>
            <w:r w:rsidR="0018380F" w:rsidRPr="0018380F">
              <w:rPr>
                <w:rFonts w:ascii="Times New Roman" w:hAnsi="Times New Roman"/>
              </w:rPr>
              <w:t xml:space="preserve">Napięcie </w:t>
            </w:r>
            <w:proofErr w:type="spellStart"/>
            <w:r w:rsidR="0018380F" w:rsidRPr="0018380F">
              <w:rPr>
                <w:rFonts w:ascii="Times New Roman" w:hAnsi="Times New Roman"/>
              </w:rPr>
              <w:t>bias</w:t>
            </w:r>
            <w:proofErr w:type="spellEnd"/>
            <w:r w:rsidR="0018380F" w:rsidRPr="0018380F">
              <w:rPr>
                <w:rFonts w:ascii="Times New Roman" w:hAnsi="Times New Roman"/>
              </w:rPr>
              <w:t>: 11-13 V</w:t>
            </w:r>
          </w:p>
          <w:p w:rsidR="0018380F" w:rsidRPr="0018380F" w:rsidRDefault="0018380F" w:rsidP="0018380F">
            <w:pPr>
              <w:pStyle w:val="Zwykytekst"/>
              <w:rPr>
                <w:rFonts w:ascii="Times New Roman" w:hAnsi="Times New Roman"/>
              </w:rPr>
            </w:pPr>
            <w:r w:rsidRPr="0018380F">
              <w:rPr>
                <w:rFonts w:ascii="Times New Roman" w:hAnsi="Times New Roman"/>
              </w:rPr>
              <w:t>Stała czasu rozładowania: 0.5 - 1.5 s</w:t>
            </w:r>
          </w:p>
          <w:p w:rsidR="0018380F" w:rsidRDefault="0018380F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80F">
              <w:rPr>
                <w:rFonts w:ascii="Times New Roman" w:hAnsi="Times New Roman"/>
              </w:rPr>
              <w:t xml:space="preserve">Rozdzielczość szerokopasmowa: 0.0004 </w:t>
            </w:r>
            <w:proofErr w:type="spellStart"/>
            <w:r w:rsidRPr="0018380F">
              <w:rPr>
                <w:rFonts w:ascii="Times New Roman" w:hAnsi="Times New Roman"/>
              </w:rPr>
              <w:t>Grms</w:t>
            </w:r>
            <w:proofErr w:type="spellEnd"/>
            <w:r w:rsidRPr="0018380F">
              <w:rPr>
                <w:rFonts w:ascii="Times New Roman" w:hAnsi="Times New Roman"/>
              </w:rPr>
              <w:t xml:space="preserve"> Materiał czujnika: ceramiczny Materiał obudowy/złącza: tytan</w:t>
            </w:r>
            <w:r w:rsidR="00D4263B"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2. Przewód kompatybilny z akcelerometrem z poz. 1. (10-32 UNF -&gt; BNC)</w:t>
            </w:r>
            <w:r w:rsidR="00D4263B"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a) o długości w zakresie 2.5-3 m (4 szt.)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b) o długości w zakresie 8-10 m (10 szt.)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 Trzpień gwintowany obustronnie 10-32 UNF, kompatybilny z akcelerometrem z poz. 1. (4 szt.)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 Wosk do montowania akcelerometrów, opakowanie 20g (2 szt.)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 xml:space="preserve">5. Jednoskładnikowy, szybko utwardzający się klej cyjanoakrylowy w postaci żelu ogólnego stosowania. Szybkie klejenie różnych materiałów, takich jak metale, ceramika, drewno, skóra, tworzywa i elastomery. 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Czas ustalania: 5 – 10 sek.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Lepkość: Żel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Zakres temperatur pracy: -40°C do +120°C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Kolor: bezbarwny, nieznacznie mętny</w:t>
            </w: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Opakowanie: 20g (1 szt.)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Opakowanie: 3g (2 szt.)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6. Jednoskładnikowy klej anaerobowy do zabezpieczania gwintów o niskiej wytrzymałości. Utwardzenie produktu następuje w szczelinie po odcięciu dopływu powietrza między ściśle przylegającymi </w:t>
            </w:r>
            <w:proofErr w:type="spellStart"/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powierzchanimi</w:t>
            </w:r>
            <w:proofErr w:type="spellEnd"/>
            <w:r w:rsidRPr="0018380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metalowymi. Zapobiegający odkręcaniu się podczas wibracji gwintowanych elementów złącznych. Szczególnie zalecany do śrub nastawczo regulacyjnych, długich lub o małej średnicy, dla których wymagany jest łatwy demontaż, bez ryzyka ich ukręcenia. Doskonale nadający się do metali o niskiej wytrzymałości, k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tóre mogą pękać podczas demontażu, jak np. aluminium lub mosiądz.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Wytrzymałość: niska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Maksymalna średnica gwintu: M36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Moment zerwania dla śrub M10: 6Nm</w:t>
            </w:r>
          </w:p>
          <w:p w:rsidR="0018380F" w:rsidRDefault="00D4263B" w:rsidP="0018380F">
            <w:pPr>
              <w:pStyle w:val="Zwykytek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Zakres temperatur pracy: -55°C do +150°C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Kolor: fioletowy</w:t>
            </w:r>
          </w:p>
          <w:p w:rsidR="00FF6E3A" w:rsidRPr="0018380F" w:rsidRDefault="00D4263B" w:rsidP="0018380F">
            <w:pPr>
              <w:pStyle w:val="Zwykytekst"/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Pojemność: 10 ml (1 szt.)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7. Podstawka montażowa kompatybilna z akcelerometrem z poz. 1. (14 szt.)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anodowana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trzpień montażowy gwintowany 10-32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8. Podstawka montażowa magnetyczna kompatybilna z akcelerometrem z poz. 1. (2 szt.)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sześciokąt 19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wysokość 6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masa 22 gramy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siła 43 N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- trzpień montażowy gwintowany 10-32</w:t>
            </w:r>
          </w:p>
        </w:tc>
      </w:tr>
      <w:tr w:rsidR="00D4263B" w:rsidRPr="00D4263B" w:rsidTr="009F1F18">
        <w:tc>
          <w:tcPr>
            <w:tcW w:w="1239" w:type="dxa"/>
          </w:tcPr>
          <w:p w:rsidR="00FF6E3A" w:rsidRPr="00D4263B" w:rsidRDefault="00FF6E3A" w:rsidP="003D5BF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F6E3A" w:rsidRPr="00D4263B" w:rsidRDefault="00FF6E3A" w:rsidP="003D5BF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75" w:type="dxa"/>
          </w:tcPr>
          <w:p w:rsidR="00FF6E3A" w:rsidRPr="00D4263B" w:rsidRDefault="00FF6E3A" w:rsidP="003D5BFD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Dostawa komputera przemysłowego z modułami i oprogramowaniem.</w:t>
            </w:r>
          </w:p>
        </w:tc>
        <w:tc>
          <w:tcPr>
            <w:tcW w:w="11340" w:type="dxa"/>
          </w:tcPr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Komputer przemysłowy (IPC) wraz z modułami pomiarowymi rozproszonego systemu automatyki oraz oprogramowaniem o specyfikacji jak poniżej.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1. Komputer przemysłowy (IPC), 1 szt.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 xml:space="preserve">procesor: 4 rdzenie, pobór mocy, nie więcej niż: 40 W, wydajność nie mniejsza niż 7000 pkt. wg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PassMark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 xml:space="preserve"> CPU Mark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 xml:space="preserve">płyta główna: 3,5 cala 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pamięć RAM: 8 GB DDR4 RAM, rozszerzalna do 32 GB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 xml:space="preserve">karta graficzna: zintegrowana, w oparciu o GPU procesora, 1 DVI-D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connector</w:t>
            </w:r>
            <w:proofErr w:type="spellEnd"/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D4263B">
              <w:rPr>
                <w:color w:val="000000" w:themeColor="text1"/>
                <w:sz w:val="24"/>
                <w:szCs w:val="24"/>
                <w:lang w:val="en-US"/>
              </w:rPr>
              <w:t>on-board dual Ethernet adapter with 2 x 100/1000BASE-T connector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D4263B">
              <w:rPr>
                <w:color w:val="000000" w:themeColor="text1"/>
                <w:sz w:val="24"/>
                <w:szCs w:val="24"/>
                <w:lang w:val="en-US"/>
              </w:rPr>
              <w:t xml:space="preserve">on-board SATA RAID 1 controller, 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dysk twardy: SSD 2,5-cala, 240 GB, typ pamięci MLC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porty dodatkowe: 1x serial port RS232 i 4x USB 3.0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zasilanie: 24 V DC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przeznaczony do montażu w szafach sterowniczych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blacha montażowa na tylnej ścianie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wszystkie złącza dostępne z przedniego panelu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bateria litowa dostępna za przednią klapą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statusowe diody LED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stopień ochrony IP 20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temperatura pracy 0 ... 55 ° C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waga podstawowej konfiguracji nie większa niż 2 kg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wymiary nie większe niż: (szer. x wys. x gł.) 65 x 235 x 121 mm (bez płyty montażowej)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 xml:space="preserve">z licencją na Windows 10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IoT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 xml:space="preserve"> Enterprise 64 bit lub równoważnym oraz z licencją PLC/C++ wspierającą współpracę komputera z pakietem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Matlab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>/Simulink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 Moduły rozproszonych wejść/wyjść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 xml:space="preserve">2.1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Coupler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 xml:space="preserve"> sieci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EtherCAT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 xml:space="preserve"> początkowy (3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Sposób połączenia stacji: przewód Ethernet/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EtherCAT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(min.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Cat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5), ekranowany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Odległość między stacjami: max. 100 m (100BASE-TX)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stacji do podłączenia: do 65534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Protokół sieciowy: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EtherCAT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Dopuszczalne opóźnienie: ok. 1 µs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Szybkość przesyłania danych: 100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Mbit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Konfiguracja: nie wymagana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Interfejs magistrali: 2 x RJ45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zasilanie: 24 V DC (-15 %/+20 %)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zasilanie prądem magistrali E-bus: 2000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izolacja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elektryczna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: 500 V (power contact/supply voltage/Ethernet)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dopuszczenia: CE, UL, Ex,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IECEx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 xml:space="preserve">2.2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Coupler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 xml:space="preserve"> sieci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EtherCAT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 xml:space="preserve"> końcowy (1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Sposób połączenia stacji: przewód Ethernet/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EtherCAT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(min.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Cat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5), ekranowany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Odległość między stacjami: max. 100 m (100BASE-TX)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Protokół sieciowy: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EtherCAT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Dopuszczalne opóźnienie: ok. 1 µs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Szybkość przesyłania danych: 100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Mbit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/s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Konfiguracja: nie wymagana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Interfejs magistrali: 1 x RJ45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zasilanie: z magistrali E-bus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130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izolacja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elektryczna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: 500 V (power contact/supply voltage/Ethernet)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dopuszczenia: CE, UL, Ex,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IECEx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2.3 Moduł wejść binarnych 8 kanałowy (3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technologia podłączenia: 1-wire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wejść: 8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napięcie nominalne: 24 V DC (-15 %/+20 %)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sygnał "0": -3…+5 V (EN 61131-2,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type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3)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sygnał "1": 11…30 V (EN 61131-2,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type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3)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prąd wejściowy: typ. 3 mA (EN 61131-2,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type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3)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filtr wejściowy: typ. 3.0 ms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90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izolacja elektryczna: 500 V (E-bus/field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potential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dopuszczenia: CE, UL, Ex,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IECEx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2.4 Moduł wyjść binarnych 8 kanałowy (3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technologia podłączenia: 1-wire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wyjść: 8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napięcie nominalne: 24 V DC (-15 %/+20 %)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napięcie znamionowe obciążenia: 24 V DC (-15 %/+20 %)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typ obciążenia: omowy, indukcyjny, lamp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load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max. prąd wyjściowy: 0,5 A (odporność na zwarcie) na kanał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prąd zwarcia: typ. &lt;2 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zabezpieczenie przed odwróceniem napięcia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energia zrywająca &lt;150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mJ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/ kanał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czas przełączania: typ. TON: 60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typ. TOFF: 300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typ. 110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izolacja elektryczna: 500 V (potencjał E-bus / field)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dopuszczenia: CE, UL, Ex,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IECEx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2.5 Moduł prądowych wejść analogowych 4-20 mA 8 kanałowy (1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wejść 8 (single-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ended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technologia podłączenia: single-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ended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prąd sygnału: 4 ... 20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oporność wewnętrzna: 85 Ω typ.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filtr wejściowy (częstotliwość graniczna): 1 kHz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wytrzymałość dielektryczna: maks. 30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czas konwersji: 1,25 ms domyślne ustawienie, konfigurowalne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rozdzielczość: 12-bitowa (prezentacja 16-bitowa, ze znakiem)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błąd pomiaru: &lt;± 0,3% (w odniesieniu do wartości pełnej skali)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izolacja elektryczna: 500 V (E-bus / napięcie sygnału)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130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konfiguracja: bez wymaganego adresu lub konfiguracji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cechy szczególne: standardowy i kompaktowy obraz procesu, aktywowane filtry FIR / IIR, monitorowanie wartości granicznej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dopuszczenia: CE, UL, Ex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lastRenderedPageBreak/>
              <w:t>2.6 Moduł napięciowych wejść analogowych 4 kanałowy (1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wejść: 4 (single-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ended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zasilanie: przez E-bus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technologia: single-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ended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napięcie sygnału: 0 ... 10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oporność wewnętrzna&gt; 130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kΩ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filtr wejściowy (częstotliwość graniczna): 1 kHz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wytrzymałość dielektryczna: maks. 30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czas konwersji: 0.625 ms ustawienie domyślne, konfigurowalne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rozdzielczość: 12-bitowa (prezentacja 16-bitowa, ze znakiem)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błąd pomiaru: &lt;± 0,3% (w odniesieniu do wartości pełnej skali)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izolacja elektryczna: 500 V (E-bus / napięcie sygnału)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130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specjalne funkcje: aktywowane filtry FIR / IIR, monitorowanie wartości granicznych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izolacja elektryczna: 500 V (potencjał E-bus / field)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dopuszczenia: CE, UL, Ex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2.7 Moduł prądowych wejść analogowych 4-20 mA 4 kanałowy (2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liczba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wejść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: 4 (single-ended)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technologia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: single-ended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prąd sygnału: 4 ... 20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rozproszone zegary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oporność wewnętrzna: 85 Ω typ. + napięcie diody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filtr wejściowy (częstotliwość graniczna): 5 kHz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wytrzymałość dielektryczna: maks. 30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czas konwersji: ~ 100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rozdzielczość: 16 bitów (ze znakiem)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błąd pomiaru: &lt;± 0,3% (w odniesieniu do wartości pełnej skali)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izolacja elektryczna: 500 V (E-bus / napięcie sygnału)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130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konfiguracja: bez wymaganego adresu lub konfiguracji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cechy szczególne: standardowy i kompaktowy obraz procesu, aktywowane filtry FIR / IIR, monitorowanie wartości granicznej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2.8 Trójfazowy moduł pomiaru mocy (7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wejść: 4 x prąd, 3 x napięcie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technologia: 3-fazowy pomiar mocy dla napięć przemiennych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czas konwersji: zsynchronizowany z siecią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zmierzone wartości: prądu (I1, I2, I3, In), napięcie, moc czynna, moc bierna, moc pozorna, energia, cos φ, częstotliwość, harmoniczne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napięcie pomiarowe: max. 690 V AC 3 ~ (ULX-N: maks. 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400 V AC) max. 600 V AC 3 ~ (ULX-N: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maks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346 V AC)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pomiar prądu: regulowany, 100 mA, 1 A (domyślnie), 5 A; bez potencjału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rozdzielczość: 1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μA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0,1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mV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10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mW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błąd pomiaru 0,5% względem wartości pełnej skali (U / I), wartość obliczona 1%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izolacja elektryczna 4500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160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funkcje specjalne: galwanicznie izolowane wejścia prądowe, analiza harmoniczna, praca jednofazowa również jest możliwa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dopuszczenia: CE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2.9 Moduł pomiarowy z nadpróbkowaniem dla czujników IEPE (6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wejść: 2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technologia: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Condition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Monitoring (IEPE),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nadpróbkowanie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napięcie sygnału: zasilanie prądem stałym IEPE i rejestracja modulowanego napięcia przemiennego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rozproszone zegary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filtr wejściowy (częstotliwość graniczna): analogowy parametryzowany filtr dolnoprzepustowy 5-go rzędu do 25 kHz, zwykle filtr górnoprzepustowy 0,05 Hz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czas konwersji: 20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(maks. 50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ksamples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/ s)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zakres pomiaru: domyślnie ± 5 V do 25 kHz, ± 250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mV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do 10 Hz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zasilanie: 24 V DC poprzez styki mocy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maks. napięcie czujnika: napięcie styku elektrycznego poniżej 1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monitorowanie stanu czujnika: poprzez monitorowanie napięcia polaryzacji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prąd zasilania: IEXCITE typ. 2/4/8 mA (oddzielnie konfigurowalny dla obu kanałów)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wejście: single-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ended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rozdzielczość: 16 bitów (ze znakiem)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błąd pomiaru: &lt;± 0,5% (DC, w odniesieniu do wartości pełnej skali)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220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funkcje specjalne: automatyczna funkcja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antyaliasingu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wykrywanie zerwania przewodu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dopuszczenia: CE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2.10 Moduł pomiarowy z nadpróbkowaniem ze złączami BNC dla czujników IEPE (1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pomiar napięcia: ± 10/5 / 2,5 / 1,25 V, ± 640/320/160/80/40/20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mV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0 ... 10/20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pomiar IEPE: prąd 2/4 mA, może być dezaktywowany, akwizycja modulowanego napięcia AC, sprzężenie AC / DC (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parametryzowalne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górnoprzepustowe)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kanałów: 2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technologia: IEPE, pomiar napięcia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typ sygnału: single-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ended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technologia połączeń: 2-przewodowe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typ połączenia: BNC, ekranowany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rozdzielczość: 24 bity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max. częstotliwość próbkowania: max. 20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/ 50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ksps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(na kanał, jednocześnie)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współczynnik nadpróbkowania: n = 1 ... 100 do wyboru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oporność wewnętrzna&gt; 2 MΩ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błąd pomiaru: typ. ± 100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ppm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/ ± 0,01% w odniesieniu do odpowiedniej pełnej wartości skali (DC) przy 23 ° 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współczynnik temperaturowy: typ. &lt;10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ppm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/ K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diagnostyka funkcjonalna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diagnostyka połączenia: przerwany przewód / zwarcie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rozproszone zegary: tak, dokładność &lt;&lt; 1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460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0...+ 55 ° C / -25...+ 85 ° 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rozpraszanie ciepła: typ. 3 W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funkcje specjalne: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ExtendedRange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107%,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free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numeric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filter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TrueRMS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integrator / różniczkowanie, nieliniowe skalowanie,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PeakHold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2.11 Moduł napięciowych wejść analogowych -10..+10 V z nadpróbkowaniem 2 kanałowy (2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liczba wejść 2 (różnicowy)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zasilanie: przez E-bus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technologia: podłączenie różnicowe,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oversampling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napięcie sygnału: -10 ... + 10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współczynnik nadpróbkowania: n = 1 ... 100 do wyboru (maks. 100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ksamples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/ s)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rozproszone zegary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dokładność rozproszonego zegara: &lt;&lt; 1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oporność wewnętrzna: &gt; 200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kΩ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filtr wejściowy (częstotliwość graniczna): 80 kHz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napięcie wspólne UCM: max. 35 V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czas konwersji: ~ 10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μs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na próbkę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zalecane pasmo przenoszenia sygnału: 0 ... 30 kHz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rozdzielczość: 16 bitów (ze znakiem)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błąd pomiaru: &lt;± 0,3% do 10 Hz (w odniesieniu do wartości pełnej skali)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izolacja elektryczna: 500 V (E-bus / napięcie sygnału)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pobór prądu z magistrali E-bus: ok. 200 mA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szerokość bitów w danych wejściowych obrazu procesu: n x 2 x 16 bit danych; opcjonalnie 2 x 16-bitowy licznik cykli, 4-bajtowy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StartNextLatch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time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funkcje specjalne: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nadpróbkowanie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temperatura działania/przechowywania: -25…+60 °C/-40…+85 °C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wilgotność względna: 95 %, bez kondensacji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na wibracje/wstrząsy: zgodne z EN 60068-2-6/EN 60068-2-27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odporność EMC: zgodne z EN 61000-6-2/EN 61000-6-4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klasa ochronności: IP 20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dopuszczenia: CE, UL, Ex,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IECEx</w:t>
            </w:r>
            <w:proofErr w:type="spellEnd"/>
          </w:p>
          <w:p w:rsidR="00DC3793" w:rsidRPr="00D4263B" w:rsidRDefault="00DC3793" w:rsidP="00DC3793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montaż na szynę DIN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2.12 Zaślepka magistrali E-bus (3 szt.)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szerokość: 5 mm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dopuszczenia: CE, UL, Ex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3. Oprogramowanie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3.1 Rozszerzenie oprogramowania kompatybilnego z komputerem przemysłowym IPC oraz modułami o możliwość uruchamiania programów generowanych w MATLAB/Simulink: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Rozszerzenie musi posiadać poniższe cechy: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środowisko wykonawcze PLC i C++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umożliwiać wykonanie modułów generowanych w MATLAB/Simulink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wielokrotne instancje modułów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parametryzacja tych modułów w czasie pracy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dostęp online do wszystkich parametrów (można dezaktywować)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moduły ogólne (bez konieczności podłączania sprzętu w modelach)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połączenie z zewnętrznym trybem Simulink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połączenie z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debugerem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C++, z graficzną reprezentacją bloków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moduły można wywoływać z innych modułów lub bezpośrednio według zadań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przystosowane do platformy wysokiej wydajności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 xml:space="preserve">3.2 Simulink </w:t>
            </w:r>
            <w:proofErr w:type="spellStart"/>
            <w:r w:rsidRPr="00D4263B">
              <w:rPr>
                <w:color w:val="000000" w:themeColor="text1"/>
                <w:sz w:val="24"/>
                <w:szCs w:val="24"/>
              </w:rPr>
              <w:t>Coder</w:t>
            </w:r>
            <w:proofErr w:type="spellEnd"/>
            <w:r w:rsidRPr="00D4263B">
              <w:rPr>
                <w:color w:val="000000" w:themeColor="text1"/>
                <w:sz w:val="24"/>
                <w:szCs w:val="24"/>
              </w:rPr>
              <w:t xml:space="preserve"> dla środowiska MATLAB/Simulink generator kodu, który może generować odpowiedni kod C/C++ z modelu w Simulink, gotowy do uruchomienia na sterowniku PLC/IPC.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tworzenie modelu obiektu z zachowaniem wejścia i wyjścia modelu Simulink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instancja modułu może być ponownie skonfigurowana w środowisku programistycznym PLC/IPC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 uruchomieniu środowiska wykonawczego moduł jest wykonywany w czasie rzeczywistym, dzięki czemu możliwe jest jego integracja z rzeczywistym systemem sterowania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3.3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Interfejs komunikacyjny pomiędzy MATLAB/Simulink a środowiskiem uruchomieniowym/programowym dla PLC/IPC. Obsługujący akwizycję i wizualizację parametrów w czasie rzeczywistym. Może być używany zarówno do symulacji pętli programowej, jak i (w połączeniu z koderem z pkt. 3.2) do symulacji pętli sprzętowej kontrolera.</w:t>
            </w: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</w:p>
          <w:p w:rsidR="00DC3793" w:rsidRPr="00D4263B" w:rsidRDefault="00DC3793" w:rsidP="00DC3793">
            <w:pPr>
              <w:rPr>
                <w:color w:val="000000" w:themeColor="text1"/>
                <w:sz w:val="24"/>
                <w:szCs w:val="24"/>
              </w:rPr>
            </w:pPr>
            <w:r w:rsidRPr="00D4263B">
              <w:rPr>
                <w:color w:val="000000" w:themeColor="text1"/>
                <w:sz w:val="24"/>
                <w:szCs w:val="24"/>
              </w:rPr>
              <w:t>Rozszerzenie musi posiadać poniższe cechy: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wymiana danych pomiędzy urządzeniami </w:t>
            </w:r>
            <w:proofErr w:type="spellStart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fieldbus</w:t>
            </w:r>
            <w:proofErr w:type="spellEnd"/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i MATLAB/Simulink, na przykład dla prostej realizacji pętli sterowania o niskich wymaganiach w czasie rzeczywistym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wymiana danych między kontrolerem a MATLAB/Simulink; umożliwiająca na przykład testowanie kontrolera za pomocą symulacji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pozyskiwanie i wizualizacja danych procesowych za pośrednictwem MATLAB/Simulink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konfiguracja za pomocą edytora graficznego</w:t>
            </w:r>
          </w:p>
          <w:p w:rsidR="00DC3793" w:rsidRPr="00D4263B" w:rsidRDefault="00DC3793" w:rsidP="00DC37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426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różne opcje wymiany danych, dostęp przez: symbol nazwy zmiennej, konfigurowalny moduł interfejsu</w:t>
            </w:r>
          </w:p>
          <w:p w:rsidR="00FF6E3A" w:rsidRPr="00D4263B" w:rsidRDefault="00FF6E3A" w:rsidP="003D5BFD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C07E23" w:rsidRPr="00D4263B" w:rsidRDefault="00C07E23">
      <w:pPr>
        <w:spacing w:line="360" w:lineRule="auto"/>
        <w:ind w:hanging="284"/>
        <w:rPr>
          <w:color w:val="000000" w:themeColor="text1"/>
          <w:sz w:val="24"/>
          <w:szCs w:val="24"/>
        </w:rPr>
      </w:pPr>
    </w:p>
    <w:p w:rsidR="00C07E23" w:rsidRPr="00D4263B" w:rsidRDefault="000456D0" w:rsidP="009F1F18">
      <w:pPr>
        <w:spacing w:line="360" w:lineRule="auto"/>
        <w:ind w:hanging="284"/>
        <w:rPr>
          <w:color w:val="000000" w:themeColor="text1"/>
          <w:sz w:val="24"/>
          <w:szCs w:val="24"/>
        </w:rPr>
      </w:pPr>
      <w:r w:rsidRPr="00D4263B">
        <w:rPr>
          <w:color w:val="000000" w:themeColor="text1"/>
          <w:sz w:val="24"/>
          <w:szCs w:val="24"/>
        </w:rPr>
        <w:tab/>
      </w:r>
    </w:p>
    <w:p w:rsidR="006D016F" w:rsidRPr="00D4263B" w:rsidRDefault="006D016F">
      <w:pPr>
        <w:spacing w:line="360" w:lineRule="auto"/>
        <w:rPr>
          <w:color w:val="000000" w:themeColor="text1"/>
          <w:sz w:val="24"/>
          <w:szCs w:val="24"/>
        </w:rPr>
      </w:pPr>
    </w:p>
    <w:sectPr w:rsidR="006D016F" w:rsidRPr="00D4263B" w:rsidSect="009F1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16F" w:rsidRDefault="006D016F">
      <w:r>
        <w:separator/>
      </w:r>
    </w:p>
  </w:endnote>
  <w:endnote w:type="continuationSeparator" w:id="0">
    <w:p w:rsidR="006D016F" w:rsidRDefault="006D0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E23" w:rsidRDefault="000456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07E23" w:rsidRDefault="00C07E2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E23" w:rsidRDefault="00C07E2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07E23" w:rsidRDefault="00C07E23">
    <w:pPr>
      <w:pStyle w:val="Stopka"/>
      <w:tabs>
        <w:tab w:val="clear" w:pos="4536"/>
      </w:tabs>
      <w:jc w:val="center"/>
    </w:pPr>
  </w:p>
  <w:p w:rsidR="00C07E23" w:rsidRDefault="000456D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6758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6758D"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E23" w:rsidRDefault="00C07E2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07E23" w:rsidRDefault="00C07E23">
    <w:pPr>
      <w:pStyle w:val="Stopka"/>
      <w:tabs>
        <w:tab w:val="clear" w:pos="4536"/>
      </w:tabs>
      <w:jc w:val="center"/>
    </w:pPr>
  </w:p>
  <w:p w:rsidR="00C07E23" w:rsidRDefault="000456D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01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16F" w:rsidRDefault="006D016F">
      <w:r>
        <w:separator/>
      </w:r>
    </w:p>
  </w:footnote>
  <w:footnote w:type="continuationSeparator" w:id="0">
    <w:p w:rsidR="006D016F" w:rsidRDefault="006D0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E3A" w:rsidRDefault="00FF6E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E3A" w:rsidRDefault="00FF6E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E23" w:rsidRDefault="00C07E23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722CE"/>
    <w:multiLevelType w:val="hybridMultilevel"/>
    <w:tmpl w:val="F512792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E0F17"/>
    <w:multiLevelType w:val="hybridMultilevel"/>
    <w:tmpl w:val="468CF5E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90105"/>
    <w:multiLevelType w:val="hybridMultilevel"/>
    <w:tmpl w:val="AC3AB1A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72E0D"/>
    <w:multiLevelType w:val="hybridMultilevel"/>
    <w:tmpl w:val="AF76F8B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9939D1"/>
    <w:multiLevelType w:val="hybridMultilevel"/>
    <w:tmpl w:val="9F8C2C9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5782"/>
    <w:multiLevelType w:val="hybridMultilevel"/>
    <w:tmpl w:val="981CDF4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C364B"/>
    <w:multiLevelType w:val="hybridMultilevel"/>
    <w:tmpl w:val="28CEB1F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D3AFD"/>
    <w:multiLevelType w:val="hybridMultilevel"/>
    <w:tmpl w:val="974A90A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862CE"/>
    <w:multiLevelType w:val="hybridMultilevel"/>
    <w:tmpl w:val="93E2CFC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55188D"/>
    <w:multiLevelType w:val="hybridMultilevel"/>
    <w:tmpl w:val="02860CD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D72BB"/>
    <w:multiLevelType w:val="hybridMultilevel"/>
    <w:tmpl w:val="7048EF5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02072"/>
    <w:multiLevelType w:val="hybridMultilevel"/>
    <w:tmpl w:val="E10C4A68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7A6E48"/>
    <w:multiLevelType w:val="hybridMultilevel"/>
    <w:tmpl w:val="114E341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A64E9"/>
    <w:multiLevelType w:val="hybridMultilevel"/>
    <w:tmpl w:val="F4BA4EBC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861C83"/>
    <w:multiLevelType w:val="hybridMultilevel"/>
    <w:tmpl w:val="12EE83D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1"/>
  </w:num>
  <w:num w:numId="5">
    <w:abstractNumId w:val="7"/>
  </w:num>
  <w:num w:numId="6">
    <w:abstractNumId w:val="9"/>
  </w:num>
  <w:num w:numId="7">
    <w:abstractNumId w:val="3"/>
  </w:num>
  <w:num w:numId="8">
    <w:abstractNumId w:val="13"/>
  </w:num>
  <w:num w:numId="9">
    <w:abstractNumId w:val="5"/>
  </w:num>
  <w:num w:numId="10">
    <w:abstractNumId w:val="1"/>
  </w:num>
  <w:num w:numId="11">
    <w:abstractNumId w:val="14"/>
  </w:num>
  <w:num w:numId="12">
    <w:abstractNumId w:val="12"/>
  </w:num>
  <w:num w:numId="13">
    <w:abstractNumId w:val="0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16F"/>
    <w:rsid w:val="000456D0"/>
    <w:rsid w:val="00102F94"/>
    <w:rsid w:val="0018380F"/>
    <w:rsid w:val="0066758D"/>
    <w:rsid w:val="006D016F"/>
    <w:rsid w:val="009F1F18"/>
    <w:rsid w:val="00C07E23"/>
    <w:rsid w:val="00D4263B"/>
    <w:rsid w:val="00DC3793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8DA73-D06F-40C0-AABA-9926176C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DC37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18380F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8380F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44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2626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2019-05-22T14:43:00Z</dcterms:created>
  <dcterms:modified xsi:type="dcterms:W3CDTF">2019-05-22T14:43:00Z</dcterms:modified>
</cp:coreProperties>
</file>