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9A" w:rsidRPr="00D9249A" w:rsidRDefault="00D9249A" w:rsidP="009C362A">
      <w:pPr>
        <w:pStyle w:val="pkt"/>
        <w:ind w:left="0" w:firstLine="0"/>
        <w:rPr>
          <w:b/>
        </w:rPr>
      </w:pPr>
      <w:r w:rsidRPr="00D9249A">
        <w:rPr>
          <w:b/>
        </w:rPr>
        <w:t>Akademia Górniczo - Hutnicza</w:t>
      </w:r>
    </w:p>
    <w:p w:rsidR="00D9249A" w:rsidRPr="00D9249A" w:rsidRDefault="00D9249A" w:rsidP="009C362A">
      <w:pPr>
        <w:pStyle w:val="pkt"/>
        <w:ind w:left="0" w:firstLine="0"/>
        <w:rPr>
          <w:b/>
        </w:rPr>
      </w:pPr>
      <w:r w:rsidRPr="00D9249A">
        <w:rPr>
          <w:b/>
        </w:rPr>
        <w:t>im. Stanisława Staszica w Krakowie</w:t>
      </w:r>
    </w:p>
    <w:p w:rsidR="009A12B2" w:rsidRDefault="00D9249A" w:rsidP="009C362A">
      <w:pPr>
        <w:pStyle w:val="pkt"/>
        <w:ind w:left="0" w:firstLine="0"/>
        <w:rPr>
          <w:b/>
        </w:rPr>
      </w:pPr>
      <w:r w:rsidRPr="00D9249A">
        <w:rPr>
          <w:b/>
        </w:rPr>
        <w:t>Dział Zamówień Publicznych</w:t>
      </w:r>
    </w:p>
    <w:p w:rsidR="009A12B2" w:rsidRDefault="00D9249A" w:rsidP="009C362A">
      <w:pPr>
        <w:pStyle w:val="pkt"/>
        <w:ind w:left="0" w:firstLine="0"/>
        <w:rPr>
          <w:b/>
        </w:rPr>
      </w:pPr>
      <w:r w:rsidRPr="00D9249A">
        <w:rPr>
          <w:b/>
        </w:rPr>
        <w:t>Al. Mickiewicza</w:t>
      </w:r>
      <w:r w:rsidR="009A12B2">
        <w:rPr>
          <w:b/>
        </w:rPr>
        <w:t xml:space="preserve"> </w:t>
      </w:r>
      <w:r w:rsidRPr="00D9249A">
        <w:rPr>
          <w:b/>
        </w:rPr>
        <w:t>30</w:t>
      </w:r>
      <w:r w:rsidR="009A12B2">
        <w:rPr>
          <w:b/>
        </w:rPr>
        <w:t xml:space="preserve"> </w:t>
      </w:r>
    </w:p>
    <w:p w:rsidR="009A12B2" w:rsidRDefault="00D9249A" w:rsidP="009C362A">
      <w:pPr>
        <w:pStyle w:val="pkt"/>
        <w:ind w:left="0" w:firstLine="0"/>
        <w:rPr>
          <w:b/>
        </w:rPr>
      </w:pPr>
      <w:r w:rsidRPr="00D9249A">
        <w:rPr>
          <w:b/>
        </w:rPr>
        <w:t>30-059</w:t>
      </w:r>
      <w:r w:rsidR="009A12B2">
        <w:rPr>
          <w:b/>
        </w:rPr>
        <w:t xml:space="preserve"> </w:t>
      </w:r>
      <w:r w:rsidRPr="00D9249A">
        <w:rPr>
          <w:b/>
        </w:rPr>
        <w:t>Kraków</w:t>
      </w:r>
    </w:p>
    <w:p w:rsidR="009A12B2" w:rsidRDefault="009A12B2" w:rsidP="009C362A">
      <w:pPr>
        <w:pStyle w:val="pkt"/>
      </w:pPr>
    </w:p>
    <w:p w:rsidR="009A12B2" w:rsidRDefault="009A12B2" w:rsidP="009C362A">
      <w:pPr>
        <w:pStyle w:val="pkt"/>
      </w:pPr>
    </w:p>
    <w:p w:rsidR="009A12B2" w:rsidRDefault="009A12B2" w:rsidP="009C362A">
      <w:pPr>
        <w:pStyle w:val="pkt"/>
      </w:pPr>
    </w:p>
    <w:p w:rsidR="009A12B2" w:rsidRDefault="009A12B2" w:rsidP="009C362A">
      <w:pPr>
        <w:pStyle w:val="pkt"/>
        <w:tabs>
          <w:tab w:val="right" w:pos="9000"/>
        </w:tabs>
        <w:ind w:left="0" w:firstLine="0"/>
      </w:pPr>
      <w:r>
        <w:rPr>
          <w:b/>
        </w:rPr>
        <w:t xml:space="preserve">Znak sprawy: </w:t>
      </w:r>
      <w:r w:rsidR="00D9249A" w:rsidRPr="00D9249A">
        <w:rPr>
          <w:b/>
        </w:rPr>
        <w:t>KC-zp.272-554/19</w:t>
      </w:r>
      <w:r>
        <w:tab/>
      </w:r>
      <w:r w:rsidR="00D9249A" w:rsidRPr="00D9249A">
        <w:t>Kraków</w:t>
      </w:r>
      <w:r>
        <w:t xml:space="preserve">, </w:t>
      </w:r>
      <w:r w:rsidR="00D9249A" w:rsidRPr="00D9249A">
        <w:t>2019-08-09</w:t>
      </w:r>
    </w:p>
    <w:p w:rsidR="009A12B2" w:rsidRDefault="009A12B2" w:rsidP="009C362A">
      <w:pPr>
        <w:pStyle w:val="Tytu"/>
      </w:pPr>
    </w:p>
    <w:p w:rsidR="009A12B2" w:rsidRDefault="009A12B2" w:rsidP="009C362A">
      <w:pPr>
        <w:rPr>
          <w:rFonts w:ascii="Verdana" w:hAnsi="Verdana" w:cs="Tahoma"/>
        </w:rPr>
      </w:pPr>
    </w:p>
    <w:p w:rsidR="009A12B2" w:rsidRDefault="009A12B2" w:rsidP="009C362A">
      <w:pPr>
        <w:pStyle w:val="Tytu"/>
      </w:pPr>
    </w:p>
    <w:p w:rsidR="009A12B2" w:rsidRDefault="009A12B2" w:rsidP="009C362A">
      <w:pPr>
        <w:pStyle w:val="Tytu"/>
      </w:pPr>
      <w:r>
        <w:t xml:space="preserve">SPECYFIKACJA </w:t>
      </w:r>
      <w:r>
        <w:br/>
        <w:t>ISTOTNYCH WARUNKÓW ZAMÓWIENIA</w:t>
      </w:r>
    </w:p>
    <w:p w:rsidR="009A12B2" w:rsidRDefault="009A12B2" w:rsidP="009C362A">
      <w:pPr>
        <w:jc w:val="center"/>
        <w:rPr>
          <w:rFonts w:ascii="Arial" w:hAnsi="Arial" w:cs="Arial"/>
          <w:b/>
          <w:sz w:val="32"/>
          <w:szCs w:val="32"/>
        </w:rPr>
      </w:pPr>
      <w:r>
        <w:rPr>
          <w:rFonts w:ascii="Arial" w:hAnsi="Arial" w:cs="Arial"/>
          <w:b/>
          <w:sz w:val="32"/>
          <w:szCs w:val="32"/>
        </w:rPr>
        <w:t xml:space="preserve">na </w:t>
      </w:r>
    </w:p>
    <w:p w:rsidR="009A12B2" w:rsidRDefault="009A12B2" w:rsidP="009C362A">
      <w:pPr>
        <w:jc w:val="center"/>
        <w:rPr>
          <w:rFonts w:ascii="Arial" w:hAnsi="Arial" w:cs="Arial"/>
          <w:b/>
          <w:sz w:val="32"/>
          <w:szCs w:val="32"/>
        </w:rPr>
      </w:pPr>
    </w:p>
    <w:p w:rsidR="009A12B2" w:rsidRDefault="00D75BF1" w:rsidP="009C362A">
      <w:pPr>
        <w:jc w:val="center"/>
        <w:rPr>
          <w:rFonts w:ascii="Arial" w:hAnsi="Arial" w:cs="Arial"/>
          <w:b/>
          <w:sz w:val="32"/>
          <w:szCs w:val="32"/>
        </w:rPr>
      </w:pPr>
      <w:r>
        <w:rPr>
          <w:rFonts w:ascii="Arial" w:hAnsi="Arial" w:cs="Arial"/>
          <w:b/>
          <w:sz w:val="32"/>
          <w:szCs w:val="32"/>
        </w:rPr>
        <w:t>Dostawę</w:t>
      </w:r>
      <w:r w:rsidR="00D9249A" w:rsidRPr="00D9249A">
        <w:rPr>
          <w:rFonts w:ascii="Arial" w:hAnsi="Arial" w:cs="Arial"/>
          <w:b/>
          <w:sz w:val="32"/>
          <w:szCs w:val="32"/>
        </w:rPr>
        <w:t xml:space="preserve"> spektrometru fluorescencji rentgenowskiej z dyspersją falową (WD-XRF) do ilościowej analizy składu pierwiastkowego próbek stałych oraz ciekłych dla </w:t>
      </w:r>
      <w:proofErr w:type="spellStart"/>
      <w:r w:rsidR="00D9249A" w:rsidRPr="00D9249A">
        <w:rPr>
          <w:rFonts w:ascii="Arial" w:hAnsi="Arial" w:cs="Arial"/>
          <w:b/>
          <w:sz w:val="32"/>
          <w:szCs w:val="32"/>
        </w:rPr>
        <w:t>ACMiN</w:t>
      </w:r>
      <w:proofErr w:type="spellEnd"/>
      <w:r w:rsidR="00D9249A" w:rsidRPr="00D9249A">
        <w:rPr>
          <w:rFonts w:ascii="Arial" w:hAnsi="Arial" w:cs="Arial"/>
          <w:b/>
          <w:sz w:val="32"/>
          <w:szCs w:val="32"/>
        </w:rPr>
        <w:t xml:space="preserve"> AGH - KC-zp.272-554/19</w:t>
      </w:r>
    </w:p>
    <w:p w:rsidR="009A12B2" w:rsidRDefault="009A12B2" w:rsidP="009C362A">
      <w:pPr>
        <w:jc w:val="center"/>
        <w:rPr>
          <w:rFonts w:ascii="Arial" w:hAnsi="Arial" w:cs="Arial"/>
          <w:b/>
          <w:sz w:val="32"/>
          <w:szCs w:val="32"/>
        </w:rPr>
      </w:pP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3465FC" w:rsidRDefault="003465FC" w:rsidP="003465FC">
      <w:pPr>
        <w:jc w:val="both"/>
      </w:pPr>
      <w:r>
        <w:rPr>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w:t>
      </w:r>
      <w:r>
        <w:br/>
      </w:r>
      <w:r>
        <w:rPr>
          <w:lang w:eastAsia="zh-CN"/>
        </w:rPr>
        <w:t>na jej podstawie.</w:t>
      </w: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CC4EFB" w:rsidRPr="00155C50" w:rsidRDefault="009A12B2" w:rsidP="00CC4EFB">
      <w:pPr>
        <w:pStyle w:val="Nagwek1"/>
        <w:numPr>
          <w:ilvl w:val="0"/>
          <w:numId w:val="3"/>
        </w:numPr>
        <w:rPr>
          <w:rFonts w:cs="Times New Roman"/>
        </w:rPr>
      </w:pPr>
      <w:r w:rsidRPr="00F52846">
        <w:rPr>
          <w:rFonts w:cs="Times New Roman"/>
        </w:rPr>
        <w:br w:type="page"/>
      </w:r>
      <w:r w:rsidR="00D75BF1" w:rsidRPr="009A12B2">
        <w:lastRenderedPageBreak/>
        <w:t xml:space="preserve"> </w:t>
      </w:r>
      <w:r w:rsidR="00CC4EFB" w:rsidRPr="00155C50">
        <w:rPr>
          <w:rFonts w:cs="Times New Roman"/>
        </w:rPr>
        <w:t>Zamawiający</w:t>
      </w:r>
    </w:p>
    <w:p w:rsidR="00CC4EFB" w:rsidRPr="00155C50" w:rsidRDefault="00CC4EFB" w:rsidP="00CC4EFB">
      <w:pPr>
        <w:spacing w:after="120"/>
        <w:ind w:left="360"/>
      </w:pPr>
      <w:r w:rsidRPr="00155C50">
        <w:t>Akademia Górniczo - Hutnicza im. Stanisława Staszica w Krakowie,</w:t>
      </w:r>
    </w:p>
    <w:p w:rsidR="00CC4EFB" w:rsidRPr="00155C50" w:rsidRDefault="00CC4EFB" w:rsidP="00CC4EFB">
      <w:pPr>
        <w:spacing w:after="120"/>
        <w:ind w:left="360"/>
      </w:pPr>
      <w:r w:rsidRPr="00155C50">
        <w:t xml:space="preserve">al. Mickiewicza 30 </w:t>
      </w:r>
    </w:p>
    <w:p w:rsidR="00CC4EFB" w:rsidRPr="00155C50" w:rsidRDefault="00CC4EFB" w:rsidP="00CC4EFB">
      <w:pPr>
        <w:spacing w:after="120"/>
        <w:ind w:left="360"/>
      </w:pPr>
      <w:r w:rsidRPr="00155C50">
        <w:t>30-059 Kraków</w:t>
      </w:r>
    </w:p>
    <w:p w:rsidR="00CC4EFB" w:rsidRPr="00155C50" w:rsidRDefault="00CC4EFB" w:rsidP="00CC4EFB">
      <w:pPr>
        <w:spacing w:after="120"/>
        <w:ind w:left="360"/>
      </w:pPr>
      <w:r w:rsidRPr="00155C50">
        <w:t>tel. 0-12 617-35-95, fax. 617-33-63</w:t>
      </w:r>
    </w:p>
    <w:p w:rsidR="00CC4EFB" w:rsidRPr="00155C50" w:rsidRDefault="00CC4EFB" w:rsidP="00CC4EFB">
      <w:pPr>
        <w:numPr>
          <w:ilvl w:val="0"/>
          <w:numId w:val="3"/>
        </w:numPr>
        <w:spacing w:before="240" w:after="120"/>
        <w:jc w:val="both"/>
        <w:outlineLvl w:val="0"/>
        <w:rPr>
          <w:b/>
          <w:bCs/>
          <w:caps/>
          <w:kern w:val="32"/>
        </w:rPr>
      </w:pPr>
      <w:r w:rsidRPr="00155C50">
        <w:rPr>
          <w:b/>
          <w:bCs/>
          <w:caps/>
          <w:kern w:val="32"/>
        </w:rPr>
        <w:t>Tryb udzielenia zamówienia</w:t>
      </w:r>
    </w:p>
    <w:p w:rsidR="00CC4EFB" w:rsidRPr="00155C50" w:rsidRDefault="00CC4EFB" w:rsidP="00CC4EFB">
      <w:pPr>
        <w:ind w:left="432"/>
        <w:jc w:val="both"/>
      </w:pPr>
      <w:r w:rsidRPr="00155C50">
        <w:rPr>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w:t>
      </w:r>
      <w:r w:rsidRPr="00155C50">
        <w:br/>
      </w:r>
      <w:r w:rsidRPr="00155C50">
        <w:rPr>
          <w:lang w:eastAsia="zh-CN"/>
        </w:rPr>
        <w:t>na jej podstawie.</w:t>
      </w:r>
    </w:p>
    <w:p w:rsidR="00CC4EFB" w:rsidRPr="00155C50" w:rsidRDefault="00CC4EFB" w:rsidP="00CC4EFB">
      <w:pPr>
        <w:numPr>
          <w:ilvl w:val="0"/>
          <w:numId w:val="3"/>
        </w:numPr>
        <w:spacing w:before="240" w:after="120"/>
        <w:jc w:val="both"/>
        <w:outlineLvl w:val="0"/>
        <w:rPr>
          <w:b/>
          <w:bCs/>
          <w:caps/>
          <w:kern w:val="32"/>
        </w:rPr>
      </w:pPr>
      <w:r w:rsidRPr="00155C50">
        <w:rPr>
          <w:b/>
          <w:bCs/>
          <w:caps/>
          <w:kern w:val="32"/>
        </w:rPr>
        <w:t>Opis przedmiotu zamówienia</w:t>
      </w:r>
    </w:p>
    <w:p w:rsidR="00253E99" w:rsidRPr="00253E99" w:rsidRDefault="00CC4EFB" w:rsidP="00253E99">
      <w:pPr>
        <w:pStyle w:val="Nagwek2"/>
        <w:numPr>
          <w:ilvl w:val="1"/>
          <w:numId w:val="3"/>
        </w:numPr>
      </w:pPr>
      <w:r w:rsidRPr="00253E99">
        <w:t xml:space="preserve">Przedmiotem zamówienia jest </w:t>
      </w:r>
      <w:r w:rsidR="00253E99">
        <w:t>d</w:t>
      </w:r>
      <w:r w:rsidR="00253E99" w:rsidRPr="00253E99">
        <w:t xml:space="preserve">ostawa spektrometru fluorescencji rentgenowskiej z dyspersją falową (WD-XRF) do ilościowej analizy składu pierwiastkowego próbek stałych oraz ciekłych dla </w:t>
      </w:r>
      <w:proofErr w:type="spellStart"/>
      <w:r w:rsidR="00253E99" w:rsidRPr="00253E99">
        <w:t>ACMiN</w:t>
      </w:r>
      <w:proofErr w:type="spellEnd"/>
      <w:r w:rsidR="00253E99" w:rsidRPr="00253E99">
        <w:t xml:space="preserve"> AGH - KC-zp.272-554/19</w:t>
      </w:r>
      <w:r w:rsidR="00253E99">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CC4EFB" w:rsidRPr="00155C50" w:rsidTr="00D72B0F">
        <w:tc>
          <w:tcPr>
            <w:tcW w:w="8820" w:type="dxa"/>
            <w:tcBorders>
              <w:top w:val="single" w:sz="4" w:space="0" w:color="auto"/>
              <w:left w:val="single" w:sz="4" w:space="0" w:color="auto"/>
              <w:bottom w:val="single" w:sz="4" w:space="0" w:color="auto"/>
              <w:right w:val="single" w:sz="4" w:space="0" w:color="auto"/>
            </w:tcBorders>
            <w:shd w:val="clear" w:color="auto" w:fill="auto"/>
          </w:tcPr>
          <w:p w:rsidR="00CC4EFB" w:rsidRPr="00155C50" w:rsidRDefault="00CC4EFB" w:rsidP="00D72B0F">
            <w:pPr>
              <w:spacing w:after="120"/>
              <w:ind w:left="-46" w:hanging="14"/>
              <w:rPr>
                <w:b/>
              </w:rPr>
            </w:pPr>
            <w:r w:rsidRPr="00155C50">
              <w:rPr>
                <w:b/>
              </w:rPr>
              <w:t xml:space="preserve">Wspólny Słownik Zamówień: </w:t>
            </w:r>
            <w:r>
              <w:t>38433000-9 - spektrometry</w:t>
            </w:r>
            <w:r w:rsidRPr="00155C50">
              <w:t xml:space="preserve"> – </w:t>
            </w:r>
            <w:r>
              <w:t>meble laboratoryjne</w:t>
            </w:r>
          </w:p>
          <w:p w:rsidR="00CC4EFB" w:rsidRPr="00155C50" w:rsidRDefault="00CC4EFB" w:rsidP="00D72B0F">
            <w:pPr>
              <w:spacing w:after="120"/>
              <w:ind w:left="-46" w:hanging="14"/>
            </w:pPr>
            <w:r w:rsidRPr="00155C50">
              <w:rPr>
                <w:b/>
              </w:rPr>
              <w:t xml:space="preserve">Temat: </w:t>
            </w:r>
            <w:r w:rsidR="00253E99" w:rsidRPr="00253E99">
              <w:t xml:space="preserve">Dostawa spektrometru fluorescencji rentgenowskiej z dyspersją falową (WD-XRF) do ilościowej analizy składu pierwiastkowego próbek stałych oraz ciekłych dla </w:t>
            </w:r>
            <w:proofErr w:type="spellStart"/>
            <w:r w:rsidR="00253E99" w:rsidRPr="00253E99">
              <w:t>ACMiN</w:t>
            </w:r>
            <w:proofErr w:type="spellEnd"/>
            <w:r w:rsidR="00253E99" w:rsidRPr="00253E99">
              <w:t xml:space="preserve"> AGH - KC-zp.272-554/19</w:t>
            </w:r>
          </w:p>
          <w:p w:rsidR="002058FE" w:rsidRPr="002058FE" w:rsidRDefault="002058FE" w:rsidP="002058FE">
            <w:pPr>
              <w:numPr>
                <w:ilvl w:val="0"/>
                <w:numId w:val="15"/>
              </w:numPr>
              <w:spacing w:after="120"/>
            </w:pPr>
            <w:r w:rsidRPr="002058FE">
              <w:t>Przedmiot zamówienia:</w:t>
            </w:r>
          </w:p>
          <w:p w:rsidR="002058FE" w:rsidRPr="002058FE" w:rsidRDefault="002058FE" w:rsidP="002058FE">
            <w:pPr>
              <w:spacing w:before="240" w:after="240"/>
              <w:jc w:val="center"/>
              <w:rPr>
                <w:b/>
                <w:sz w:val="28"/>
                <w:szCs w:val="28"/>
              </w:rPr>
            </w:pPr>
            <w:r w:rsidRPr="002058FE">
              <w:rPr>
                <w:b/>
                <w:sz w:val="28"/>
                <w:szCs w:val="28"/>
              </w:rPr>
              <w:t>Spektrometr fluorescencji rentgenowskiej z dyspersją falową (WD-XRF) do ilościowej analizy składu pierwiastkowego próbek stałych oraz ciekłych.</w:t>
            </w:r>
          </w:p>
          <w:p w:rsidR="002058FE" w:rsidRPr="002058FE" w:rsidRDefault="002058FE" w:rsidP="002058FE">
            <w:pPr>
              <w:numPr>
                <w:ilvl w:val="0"/>
                <w:numId w:val="15"/>
              </w:numPr>
              <w:spacing w:after="120"/>
            </w:pPr>
            <w:r w:rsidRPr="002058FE">
              <w:t>Szczegółowy opis zamówienia:</w:t>
            </w:r>
          </w:p>
          <w:p w:rsidR="002058FE" w:rsidRPr="002058FE" w:rsidRDefault="002058FE" w:rsidP="002058FE">
            <w:pPr>
              <w:autoSpaceDE w:val="0"/>
              <w:autoSpaceDN w:val="0"/>
              <w:adjustRightInd w:val="0"/>
              <w:spacing w:before="240" w:after="240" w:line="360" w:lineRule="auto"/>
              <w:jc w:val="center"/>
              <w:rPr>
                <w:rFonts w:eastAsia="Calibri"/>
                <w:b/>
                <w:color w:val="000000"/>
                <w:sz w:val="22"/>
                <w:szCs w:val="22"/>
                <w:lang w:eastAsia="en-US"/>
              </w:rPr>
            </w:pPr>
            <w:r w:rsidRPr="002058FE">
              <w:rPr>
                <w:rFonts w:eastAsia="Calibri"/>
                <w:b/>
                <w:color w:val="000000"/>
                <w:sz w:val="22"/>
                <w:szCs w:val="22"/>
                <w:lang w:eastAsia="en-US"/>
              </w:rPr>
              <w:t>Aparat WD-XRF:</w:t>
            </w:r>
          </w:p>
          <w:p w:rsidR="002058FE" w:rsidRPr="002058FE" w:rsidRDefault="002058FE" w:rsidP="002058FE">
            <w:pPr>
              <w:numPr>
                <w:ilvl w:val="0"/>
                <w:numId w:val="16"/>
              </w:numPr>
              <w:autoSpaceDE w:val="0"/>
              <w:autoSpaceDN w:val="0"/>
              <w:adjustRightInd w:val="0"/>
              <w:spacing w:line="360" w:lineRule="auto"/>
              <w:ind w:left="714" w:hanging="357"/>
              <w:contextualSpacing/>
              <w:rPr>
                <w:rFonts w:eastAsia="Calibri"/>
                <w:color w:val="000000"/>
                <w:sz w:val="22"/>
                <w:szCs w:val="22"/>
                <w:lang w:eastAsia="en-US"/>
              </w:rPr>
            </w:pPr>
            <w:r w:rsidRPr="002058FE">
              <w:rPr>
                <w:rFonts w:eastAsia="Calibri"/>
                <w:color w:val="000000"/>
                <w:sz w:val="22"/>
                <w:szCs w:val="22"/>
                <w:lang w:eastAsia="en-US"/>
              </w:rPr>
              <w:t>Zakres analizowanych pierwiastków Be - U (Z = 4 – 92).</w:t>
            </w:r>
          </w:p>
          <w:p w:rsidR="002058FE" w:rsidRPr="002058FE" w:rsidRDefault="002058FE" w:rsidP="002058FE">
            <w:pPr>
              <w:numPr>
                <w:ilvl w:val="0"/>
                <w:numId w:val="16"/>
              </w:numPr>
              <w:autoSpaceDE w:val="0"/>
              <w:autoSpaceDN w:val="0"/>
              <w:adjustRightInd w:val="0"/>
              <w:spacing w:line="360" w:lineRule="auto"/>
              <w:ind w:left="714" w:hanging="357"/>
              <w:contextualSpacing/>
              <w:rPr>
                <w:rFonts w:eastAsia="Calibri"/>
                <w:color w:val="000000"/>
                <w:sz w:val="22"/>
                <w:szCs w:val="22"/>
                <w:lang w:eastAsia="en-US"/>
              </w:rPr>
            </w:pPr>
            <w:r w:rsidRPr="002058FE">
              <w:rPr>
                <w:rFonts w:eastAsia="Calibri"/>
                <w:color w:val="000000"/>
                <w:sz w:val="22"/>
                <w:szCs w:val="22"/>
                <w:lang w:eastAsia="en-US"/>
              </w:rPr>
              <w:t xml:space="preserve">Parametry źródła rentgenowskiego: </w:t>
            </w:r>
          </w:p>
          <w:p w:rsidR="002058FE" w:rsidRPr="002058FE" w:rsidRDefault="002058FE" w:rsidP="002058FE">
            <w:pPr>
              <w:numPr>
                <w:ilvl w:val="1"/>
                <w:numId w:val="16"/>
              </w:numPr>
              <w:autoSpaceDE w:val="0"/>
              <w:autoSpaceDN w:val="0"/>
              <w:adjustRightInd w:val="0"/>
              <w:spacing w:line="360" w:lineRule="auto"/>
              <w:contextualSpacing/>
              <w:rPr>
                <w:rFonts w:eastAsia="Calibri"/>
                <w:color w:val="000000"/>
                <w:sz w:val="22"/>
                <w:szCs w:val="22"/>
                <w:lang w:eastAsia="en-US"/>
              </w:rPr>
            </w:pPr>
            <w:r w:rsidRPr="002058FE">
              <w:rPr>
                <w:rFonts w:eastAsia="Calibri"/>
                <w:color w:val="000000"/>
                <w:sz w:val="22"/>
                <w:szCs w:val="22"/>
                <w:lang w:eastAsia="en-US"/>
              </w:rPr>
              <w:t>moc generatora: co najmniej 4 kW,</w:t>
            </w:r>
          </w:p>
          <w:p w:rsidR="002058FE" w:rsidRPr="002058FE" w:rsidRDefault="002058FE" w:rsidP="002058FE">
            <w:pPr>
              <w:numPr>
                <w:ilvl w:val="1"/>
                <w:numId w:val="16"/>
              </w:numPr>
              <w:autoSpaceDE w:val="0"/>
              <w:autoSpaceDN w:val="0"/>
              <w:adjustRightInd w:val="0"/>
              <w:spacing w:line="360" w:lineRule="auto"/>
              <w:contextualSpacing/>
              <w:rPr>
                <w:rFonts w:eastAsia="Calibri"/>
                <w:color w:val="000000"/>
                <w:sz w:val="22"/>
                <w:szCs w:val="22"/>
                <w:lang w:eastAsia="en-US"/>
              </w:rPr>
            </w:pPr>
            <w:r w:rsidRPr="002058FE">
              <w:rPr>
                <w:rFonts w:eastAsia="Calibri"/>
                <w:color w:val="000000"/>
                <w:sz w:val="22"/>
                <w:szCs w:val="22"/>
                <w:lang w:eastAsia="en-US"/>
              </w:rPr>
              <w:t xml:space="preserve">napięcie przyspieszające: co najmniej 60 </w:t>
            </w:r>
            <w:proofErr w:type="spellStart"/>
            <w:r w:rsidRPr="002058FE">
              <w:rPr>
                <w:rFonts w:eastAsia="Calibri"/>
                <w:color w:val="000000"/>
                <w:sz w:val="22"/>
                <w:szCs w:val="22"/>
                <w:lang w:eastAsia="en-US"/>
              </w:rPr>
              <w:t>kV</w:t>
            </w:r>
            <w:proofErr w:type="spellEnd"/>
            <w:r w:rsidRPr="002058FE">
              <w:rPr>
                <w:rFonts w:eastAsia="Calibri"/>
                <w:color w:val="000000"/>
                <w:sz w:val="22"/>
                <w:szCs w:val="22"/>
                <w:lang w:eastAsia="en-US"/>
              </w:rPr>
              <w:t>,</w:t>
            </w:r>
          </w:p>
          <w:p w:rsidR="002058FE" w:rsidRPr="002058FE" w:rsidRDefault="002058FE" w:rsidP="002058FE">
            <w:pPr>
              <w:numPr>
                <w:ilvl w:val="1"/>
                <w:numId w:val="16"/>
              </w:numPr>
              <w:autoSpaceDE w:val="0"/>
              <w:autoSpaceDN w:val="0"/>
              <w:adjustRightInd w:val="0"/>
              <w:spacing w:line="360" w:lineRule="auto"/>
              <w:contextualSpacing/>
              <w:rPr>
                <w:rFonts w:eastAsia="Calibri"/>
                <w:color w:val="000000"/>
                <w:sz w:val="22"/>
                <w:szCs w:val="22"/>
                <w:lang w:eastAsia="en-US"/>
              </w:rPr>
            </w:pPr>
            <w:r w:rsidRPr="002058FE">
              <w:rPr>
                <w:rFonts w:eastAsia="Calibri"/>
                <w:color w:val="000000"/>
                <w:sz w:val="22"/>
                <w:szCs w:val="22"/>
                <w:lang w:eastAsia="en-US"/>
              </w:rPr>
              <w:t xml:space="preserve">prąd wiązki elektronowej: co najmniej 150 </w:t>
            </w:r>
            <w:proofErr w:type="spellStart"/>
            <w:r w:rsidRPr="002058FE">
              <w:rPr>
                <w:rFonts w:eastAsia="Calibri"/>
                <w:color w:val="000000"/>
                <w:sz w:val="22"/>
                <w:szCs w:val="22"/>
                <w:lang w:eastAsia="en-US"/>
              </w:rPr>
              <w:t>mA</w:t>
            </w:r>
            <w:proofErr w:type="spellEnd"/>
            <w:r w:rsidRPr="002058FE">
              <w:rPr>
                <w:rFonts w:eastAsia="Calibri"/>
                <w:color w:val="000000"/>
                <w:sz w:val="22"/>
                <w:szCs w:val="22"/>
                <w:lang w:eastAsia="en-US"/>
              </w:rPr>
              <w:t xml:space="preserve">, </w:t>
            </w:r>
          </w:p>
          <w:p w:rsidR="002058FE" w:rsidRPr="002058FE" w:rsidRDefault="002058FE" w:rsidP="002058FE">
            <w:pPr>
              <w:numPr>
                <w:ilvl w:val="1"/>
                <w:numId w:val="16"/>
              </w:numPr>
              <w:autoSpaceDE w:val="0"/>
              <w:autoSpaceDN w:val="0"/>
              <w:adjustRightInd w:val="0"/>
              <w:spacing w:line="360" w:lineRule="auto"/>
              <w:contextualSpacing/>
              <w:rPr>
                <w:sz w:val="22"/>
                <w:szCs w:val="22"/>
              </w:rPr>
            </w:pPr>
            <w:r w:rsidRPr="002058FE">
              <w:rPr>
                <w:rFonts w:eastAsia="Calibri"/>
                <w:color w:val="000000"/>
                <w:sz w:val="22"/>
                <w:szCs w:val="22"/>
                <w:lang w:eastAsia="en-US"/>
              </w:rPr>
              <w:t>stabilność w/w parametrów: min. 0.005% (przy zmianie parametrów zasilania o nie więcej niż +/- 10%),</w:t>
            </w:r>
          </w:p>
          <w:p w:rsidR="002058FE" w:rsidRPr="002058FE" w:rsidRDefault="002058FE" w:rsidP="002058FE">
            <w:pPr>
              <w:numPr>
                <w:ilvl w:val="1"/>
                <w:numId w:val="16"/>
              </w:numPr>
              <w:autoSpaceDE w:val="0"/>
              <w:autoSpaceDN w:val="0"/>
              <w:adjustRightInd w:val="0"/>
              <w:spacing w:line="360" w:lineRule="auto"/>
              <w:contextualSpacing/>
              <w:rPr>
                <w:rFonts w:eastAsia="Calibri"/>
                <w:color w:val="000000"/>
                <w:sz w:val="22"/>
                <w:szCs w:val="22"/>
                <w:lang w:eastAsia="en-US"/>
              </w:rPr>
            </w:pPr>
            <w:r w:rsidRPr="002058FE">
              <w:rPr>
                <w:sz w:val="22"/>
                <w:szCs w:val="22"/>
              </w:rPr>
              <w:t>automatyczna funkcja wygrzewania lampy,</w:t>
            </w:r>
          </w:p>
          <w:p w:rsidR="002058FE" w:rsidRPr="002058FE" w:rsidRDefault="002058FE" w:rsidP="002058FE">
            <w:pPr>
              <w:numPr>
                <w:ilvl w:val="1"/>
                <w:numId w:val="16"/>
              </w:numPr>
              <w:autoSpaceDE w:val="0"/>
              <w:autoSpaceDN w:val="0"/>
              <w:adjustRightInd w:val="0"/>
              <w:spacing w:line="360" w:lineRule="auto"/>
              <w:contextualSpacing/>
              <w:rPr>
                <w:rFonts w:eastAsia="Calibri"/>
                <w:color w:val="000000"/>
                <w:sz w:val="22"/>
                <w:szCs w:val="22"/>
                <w:lang w:eastAsia="en-US"/>
              </w:rPr>
            </w:pPr>
            <w:r w:rsidRPr="002058FE">
              <w:rPr>
                <w:sz w:val="22"/>
                <w:szCs w:val="22"/>
              </w:rPr>
              <w:t>lampa rentgenowska umieszczona nad analizowaną próbką, umożliwiająca bezpośredni (bez okienek) pomiar próbek ciekłych.</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Układ wiązki pierwotnej:</w:t>
            </w:r>
          </w:p>
          <w:p w:rsidR="002058FE" w:rsidRPr="002058FE" w:rsidRDefault="002058FE" w:rsidP="002058FE">
            <w:pPr>
              <w:numPr>
                <w:ilvl w:val="1"/>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lastRenderedPageBreak/>
              <w:t xml:space="preserve">wyposażony w automatyczny system osłabiania wiązki, </w:t>
            </w:r>
          </w:p>
          <w:p w:rsidR="002058FE" w:rsidRPr="002058FE" w:rsidRDefault="002058FE" w:rsidP="002058FE">
            <w:pPr>
              <w:numPr>
                <w:ilvl w:val="1"/>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umożliwiający stosowanie wymiennych filtrów, wyposażony w co najmniej cztery filtry (Al-125, Al-25, Ni-40, Ni-400),</w:t>
            </w:r>
          </w:p>
          <w:p w:rsidR="002058FE" w:rsidRPr="002058FE" w:rsidRDefault="002058FE" w:rsidP="002058FE">
            <w:pPr>
              <w:numPr>
                <w:ilvl w:val="1"/>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umożliwiający stosowanie kolimatorów, wyposażony w co najmniej sześć kolimatorów (35, 30, 20, 10, 1 and 0.5 mm),</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Układ próbek:</w:t>
            </w:r>
          </w:p>
          <w:p w:rsidR="002058FE" w:rsidRPr="002058FE" w:rsidRDefault="002058FE" w:rsidP="002058FE">
            <w:pPr>
              <w:numPr>
                <w:ilvl w:val="1"/>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wyposażony w automatyczny zmieniacz próbek na minimum 40 pozycji z możliwością rozbudowy,</w:t>
            </w:r>
          </w:p>
          <w:p w:rsidR="002058FE" w:rsidRPr="002058FE" w:rsidRDefault="002058FE" w:rsidP="002058FE">
            <w:pPr>
              <w:numPr>
                <w:ilvl w:val="1"/>
                <w:numId w:val="16"/>
              </w:numPr>
              <w:autoSpaceDE w:val="0"/>
              <w:autoSpaceDN w:val="0"/>
              <w:adjustRightInd w:val="0"/>
              <w:spacing w:line="360" w:lineRule="auto"/>
              <w:contextualSpacing/>
              <w:rPr>
                <w:sz w:val="22"/>
                <w:szCs w:val="22"/>
              </w:rPr>
            </w:pPr>
            <w:r w:rsidRPr="002058FE">
              <w:rPr>
                <w:bCs/>
                <w:sz w:val="22"/>
                <w:szCs w:val="22"/>
              </w:rPr>
              <w:t>hermetyczna komora umożliwiająca pomiar próbek proszkowych i ciekłych w atmosferze helu, wyposażona w u</w:t>
            </w:r>
            <w:r w:rsidRPr="002058FE">
              <w:rPr>
                <w:rFonts w:eastAsia="Calibri"/>
                <w:color w:val="000000"/>
                <w:sz w:val="22"/>
                <w:szCs w:val="22"/>
                <w:lang w:eastAsia="en-US"/>
              </w:rPr>
              <w:t xml:space="preserve">kład zasilania helem wraz z reduktorem </w:t>
            </w:r>
          </w:p>
          <w:p w:rsidR="002058FE" w:rsidRPr="002058FE" w:rsidRDefault="002058FE" w:rsidP="002058FE">
            <w:pPr>
              <w:numPr>
                <w:ilvl w:val="1"/>
                <w:numId w:val="16"/>
              </w:numPr>
              <w:autoSpaceDE w:val="0"/>
              <w:autoSpaceDN w:val="0"/>
              <w:adjustRightInd w:val="0"/>
              <w:spacing w:line="360" w:lineRule="auto"/>
              <w:contextualSpacing/>
              <w:rPr>
                <w:sz w:val="22"/>
                <w:szCs w:val="22"/>
              </w:rPr>
            </w:pPr>
            <w:r w:rsidRPr="002058FE">
              <w:rPr>
                <w:sz w:val="22"/>
                <w:szCs w:val="22"/>
              </w:rPr>
              <w:t>odcinany ciśnieniowo wlot próbek,</w:t>
            </w:r>
          </w:p>
          <w:p w:rsidR="002058FE" w:rsidRPr="002058FE" w:rsidRDefault="002058FE" w:rsidP="002058FE">
            <w:pPr>
              <w:numPr>
                <w:ilvl w:val="1"/>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detektor obecności próbki,</w:t>
            </w:r>
          </w:p>
          <w:p w:rsidR="002058FE" w:rsidRPr="002058FE" w:rsidRDefault="002058FE" w:rsidP="002058FE">
            <w:pPr>
              <w:numPr>
                <w:ilvl w:val="1"/>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możliwość obracania próbki podczas pomiaru oraz prowadzenia pomiaru przy ustalonym kącie,</w:t>
            </w:r>
          </w:p>
          <w:p w:rsidR="002058FE" w:rsidRPr="002058FE" w:rsidRDefault="002058FE" w:rsidP="002058FE">
            <w:pPr>
              <w:numPr>
                <w:ilvl w:val="1"/>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 xml:space="preserve">wyposażony w system </w:t>
            </w:r>
            <w:r w:rsidRPr="002058FE">
              <w:rPr>
                <w:rFonts w:eastAsia="Calibri"/>
                <w:bCs/>
                <w:color w:val="000000"/>
                <w:sz w:val="22"/>
                <w:szCs w:val="22"/>
                <w:lang w:eastAsia="en-US"/>
              </w:rPr>
              <w:t xml:space="preserve">mapowania (pomiar punktowy) </w:t>
            </w:r>
            <w:r w:rsidRPr="002058FE">
              <w:rPr>
                <w:rFonts w:eastAsia="Calibri"/>
                <w:color w:val="000000"/>
                <w:sz w:val="22"/>
                <w:szCs w:val="22"/>
                <w:lang w:eastAsia="en-US"/>
              </w:rPr>
              <w:t>wraz z kamerą CCD.</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Układ analizatora i detekcji:</w:t>
            </w:r>
          </w:p>
          <w:p w:rsidR="002058FE" w:rsidRPr="002058FE" w:rsidRDefault="002058FE" w:rsidP="002058FE">
            <w:pPr>
              <w:numPr>
                <w:ilvl w:val="1"/>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automatyczny zmieniacz kryształów analizujących,</w:t>
            </w:r>
          </w:p>
          <w:p w:rsidR="002058FE" w:rsidRPr="002058FE" w:rsidRDefault="002058FE" w:rsidP="002058FE">
            <w:pPr>
              <w:numPr>
                <w:ilvl w:val="1"/>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 xml:space="preserve">zakres skanowania detektora i zainstalowany zestaw analizatorów umożliwiający jednorazowy pomiar w pełnym zakresie analizowanych pierwiastków (przykładowy zestaw analizatorów </w:t>
            </w:r>
            <w:proofErr w:type="spellStart"/>
            <w:r w:rsidRPr="002058FE">
              <w:rPr>
                <w:rFonts w:eastAsia="Calibri"/>
                <w:color w:val="000000"/>
                <w:sz w:val="22"/>
                <w:szCs w:val="22"/>
                <w:lang w:eastAsia="en-US"/>
              </w:rPr>
              <w:t>LiF</w:t>
            </w:r>
            <w:proofErr w:type="spellEnd"/>
            <w:r w:rsidRPr="002058FE">
              <w:rPr>
                <w:rFonts w:eastAsia="Calibri"/>
                <w:color w:val="000000"/>
                <w:sz w:val="22"/>
                <w:szCs w:val="22"/>
                <w:lang w:eastAsia="en-US"/>
              </w:rPr>
              <w:t xml:space="preserve">(200), PET, Ge, </w:t>
            </w:r>
            <w:proofErr w:type="spellStart"/>
            <w:r w:rsidRPr="002058FE">
              <w:rPr>
                <w:rFonts w:eastAsia="Calibri"/>
                <w:color w:val="000000"/>
                <w:sz w:val="22"/>
                <w:szCs w:val="22"/>
                <w:lang w:eastAsia="en-US"/>
              </w:rPr>
              <w:t>LiF</w:t>
            </w:r>
            <w:proofErr w:type="spellEnd"/>
            <w:r w:rsidRPr="002058FE">
              <w:rPr>
                <w:rFonts w:eastAsia="Calibri"/>
                <w:color w:val="000000"/>
                <w:sz w:val="22"/>
                <w:szCs w:val="22"/>
                <w:lang w:eastAsia="en-US"/>
              </w:rPr>
              <w:t xml:space="preserve">(220), RX-9, RX-25 oraz RX-35) </w:t>
            </w:r>
          </w:p>
          <w:p w:rsidR="002058FE" w:rsidRPr="002058FE" w:rsidRDefault="002058FE" w:rsidP="002058FE">
            <w:pPr>
              <w:numPr>
                <w:ilvl w:val="1"/>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wyposażony w detektor proporcjonalny i scyntylator wraz z niezbędnymi układami zasilającymi (w tym system przepływu gazu licznikowego wraz z reduktorem),</w:t>
            </w:r>
          </w:p>
          <w:p w:rsidR="002058FE" w:rsidRPr="002058FE" w:rsidRDefault="002058FE" w:rsidP="002058FE">
            <w:pPr>
              <w:numPr>
                <w:ilvl w:val="1"/>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analizator wysokości impulsów z korekcją strat oraz korekcją dryfu wysokości impulsów.</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Dwustopniowy system próżniowy</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Kontrola temperatury: 36.5°C +/- 0.5°C</w:t>
            </w:r>
          </w:p>
          <w:p w:rsidR="002058FE" w:rsidRPr="002058FE" w:rsidRDefault="002058FE" w:rsidP="002058FE">
            <w:pPr>
              <w:numPr>
                <w:ilvl w:val="0"/>
                <w:numId w:val="16"/>
              </w:numPr>
              <w:autoSpaceDE w:val="0"/>
              <w:autoSpaceDN w:val="0"/>
              <w:adjustRightInd w:val="0"/>
              <w:spacing w:line="360" w:lineRule="auto"/>
              <w:ind w:left="714" w:hanging="357"/>
              <w:contextualSpacing/>
              <w:rPr>
                <w:rFonts w:eastAsia="Calibri"/>
                <w:color w:val="000000"/>
                <w:sz w:val="22"/>
                <w:szCs w:val="22"/>
                <w:lang w:eastAsia="en-US"/>
              </w:rPr>
            </w:pPr>
            <w:r w:rsidRPr="002058FE">
              <w:rPr>
                <w:rFonts w:eastAsia="Calibri"/>
                <w:color w:val="000000"/>
                <w:sz w:val="22"/>
                <w:szCs w:val="22"/>
                <w:lang w:eastAsia="en-US"/>
              </w:rPr>
              <w:t>Układ chłodzenia</w:t>
            </w:r>
          </w:p>
          <w:p w:rsidR="002058FE" w:rsidRPr="002058FE" w:rsidRDefault="002058FE" w:rsidP="002058FE">
            <w:pPr>
              <w:autoSpaceDE w:val="0"/>
              <w:autoSpaceDN w:val="0"/>
              <w:adjustRightInd w:val="0"/>
              <w:spacing w:before="240" w:after="240" w:line="360" w:lineRule="auto"/>
              <w:jc w:val="center"/>
              <w:rPr>
                <w:b/>
                <w:sz w:val="22"/>
                <w:szCs w:val="22"/>
              </w:rPr>
            </w:pPr>
            <w:r w:rsidRPr="002058FE">
              <w:rPr>
                <w:b/>
                <w:sz w:val="22"/>
                <w:szCs w:val="22"/>
              </w:rPr>
              <w:t>Oprogramowanie:</w:t>
            </w:r>
          </w:p>
          <w:p w:rsidR="002058FE" w:rsidRPr="002058FE" w:rsidRDefault="002058FE" w:rsidP="002058FE">
            <w:pPr>
              <w:autoSpaceDE w:val="0"/>
              <w:autoSpaceDN w:val="0"/>
              <w:adjustRightInd w:val="0"/>
              <w:spacing w:line="360" w:lineRule="auto"/>
              <w:rPr>
                <w:sz w:val="22"/>
                <w:szCs w:val="22"/>
              </w:rPr>
            </w:pPr>
            <w:r w:rsidRPr="002058FE">
              <w:rPr>
                <w:sz w:val="22"/>
                <w:szCs w:val="22"/>
              </w:rPr>
              <w:t>Oprogramowanie powinno umożliwiać:</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Prowadzenie analiz jakościowej (szybkiej) i ilościowej (krokowej i ciągłej).</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 xml:space="preserve">Wprowadzanie korekt teoretycznych oraz teoretyczno-empirycznych, w tym: wygładzanie pików oraz korekcja tła, korekta </w:t>
            </w:r>
            <w:proofErr w:type="spellStart"/>
            <w:r w:rsidRPr="002058FE">
              <w:rPr>
                <w:rFonts w:eastAsia="Calibri"/>
                <w:color w:val="000000"/>
                <w:sz w:val="22"/>
                <w:szCs w:val="22"/>
                <w:lang w:eastAsia="en-US"/>
              </w:rPr>
              <w:t>koindydencji</w:t>
            </w:r>
            <w:proofErr w:type="spellEnd"/>
            <w:r w:rsidRPr="002058FE">
              <w:rPr>
                <w:rFonts w:eastAsia="Calibri"/>
                <w:color w:val="000000"/>
                <w:sz w:val="22"/>
                <w:szCs w:val="22"/>
                <w:lang w:eastAsia="en-US"/>
              </w:rPr>
              <w:t xml:space="preserve"> pików, </w:t>
            </w:r>
            <w:proofErr w:type="spellStart"/>
            <w:r w:rsidRPr="002058FE">
              <w:rPr>
                <w:rFonts w:eastAsia="Calibri"/>
                <w:color w:val="000000"/>
                <w:sz w:val="22"/>
                <w:szCs w:val="22"/>
                <w:lang w:eastAsia="en-US"/>
              </w:rPr>
              <w:t>dekonwolucja</w:t>
            </w:r>
            <w:proofErr w:type="spellEnd"/>
            <w:r w:rsidRPr="002058FE">
              <w:rPr>
                <w:rFonts w:eastAsia="Calibri"/>
                <w:color w:val="000000"/>
                <w:sz w:val="22"/>
                <w:szCs w:val="22"/>
                <w:lang w:eastAsia="en-US"/>
              </w:rPr>
              <w:t xml:space="preserve"> pików, </w:t>
            </w:r>
            <w:r w:rsidRPr="002058FE">
              <w:rPr>
                <w:rFonts w:eastAsia="Calibri"/>
                <w:color w:val="000000"/>
                <w:sz w:val="22"/>
                <w:szCs w:val="22"/>
                <w:lang w:eastAsia="en-US"/>
              </w:rPr>
              <w:lastRenderedPageBreak/>
              <w:t>automatyczna korekcja na nierówności powierzchni mierzonej próbki, automatyczna identyfikację średnicy mierzonej próbki i jej korekta.</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 xml:space="preserve">Prowadzenie analiz </w:t>
            </w:r>
            <w:proofErr w:type="spellStart"/>
            <w:r w:rsidRPr="002058FE">
              <w:rPr>
                <w:rFonts w:eastAsia="Calibri"/>
                <w:color w:val="000000"/>
                <w:sz w:val="22"/>
                <w:szCs w:val="22"/>
                <w:lang w:eastAsia="en-US"/>
              </w:rPr>
              <w:t>bezwzorcowych</w:t>
            </w:r>
            <w:proofErr w:type="spellEnd"/>
            <w:r w:rsidRPr="002058FE">
              <w:rPr>
                <w:rFonts w:eastAsia="Calibri"/>
                <w:color w:val="000000"/>
                <w:sz w:val="22"/>
                <w:szCs w:val="22"/>
                <w:lang w:eastAsia="en-US"/>
              </w:rPr>
              <w:t>.</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Pomiar przy ustalonym kącie.</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Wykorzystanie metody efektu fotoelektrycznego do analizy pierwiastków lekkich.</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Tworzenie własnych baz danych.</w:t>
            </w:r>
          </w:p>
          <w:p w:rsidR="002058FE" w:rsidRPr="002058FE" w:rsidRDefault="002058FE" w:rsidP="002058FE">
            <w:pPr>
              <w:numPr>
                <w:ilvl w:val="0"/>
                <w:numId w:val="16"/>
              </w:numPr>
              <w:autoSpaceDE w:val="0"/>
              <w:autoSpaceDN w:val="0"/>
              <w:adjustRightInd w:val="0"/>
              <w:spacing w:line="360" w:lineRule="auto"/>
              <w:ind w:left="714" w:hanging="357"/>
              <w:rPr>
                <w:rFonts w:eastAsia="Calibri"/>
                <w:color w:val="000000"/>
                <w:sz w:val="22"/>
                <w:szCs w:val="22"/>
                <w:lang w:eastAsia="en-US"/>
              </w:rPr>
            </w:pPr>
            <w:r w:rsidRPr="002058FE">
              <w:rPr>
                <w:rFonts w:eastAsia="Calibri"/>
                <w:color w:val="000000"/>
                <w:sz w:val="22"/>
                <w:szCs w:val="22"/>
                <w:lang w:eastAsia="en-US"/>
              </w:rPr>
              <w:t>Zdalną diagnostykę spektrometru.</w:t>
            </w:r>
          </w:p>
          <w:p w:rsidR="002058FE" w:rsidRPr="002058FE" w:rsidRDefault="002058FE" w:rsidP="002058FE">
            <w:pPr>
              <w:autoSpaceDE w:val="0"/>
              <w:autoSpaceDN w:val="0"/>
              <w:adjustRightInd w:val="0"/>
              <w:spacing w:before="240" w:after="240" w:line="360" w:lineRule="auto"/>
              <w:jc w:val="center"/>
              <w:rPr>
                <w:rFonts w:eastAsia="Calibri"/>
                <w:b/>
                <w:color w:val="000000"/>
                <w:sz w:val="22"/>
                <w:szCs w:val="22"/>
                <w:lang w:eastAsia="en-US"/>
              </w:rPr>
            </w:pPr>
            <w:r w:rsidRPr="002058FE">
              <w:rPr>
                <w:rFonts w:eastAsia="Calibri"/>
                <w:b/>
                <w:color w:val="000000"/>
                <w:sz w:val="22"/>
                <w:szCs w:val="22"/>
                <w:lang w:eastAsia="en-US"/>
              </w:rPr>
              <w:t>Urządzenie powinno być wyposażone w:</w:t>
            </w:r>
          </w:p>
          <w:p w:rsidR="002058FE" w:rsidRPr="002058FE" w:rsidRDefault="002058FE" w:rsidP="002058FE">
            <w:pPr>
              <w:numPr>
                <w:ilvl w:val="0"/>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 xml:space="preserve">Zestaw próbek referencyjnych (do kalibracji i analizy </w:t>
            </w:r>
            <w:proofErr w:type="spellStart"/>
            <w:r w:rsidRPr="002058FE">
              <w:rPr>
                <w:rFonts w:eastAsia="Calibri"/>
                <w:color w:val="000000"/>
                <w:sz w:val="22"/>
                <w:szCs w:val="22"/>
                <w:lang w:eastAsia="en-US"/>
              </w:rPr>
              <w:t>bezwzorcowej</w:t>
            </w:r>
            <w:proofErr w:type="spellEnd"/>
            <w:r w:rsidRPr="002058FE">
              <w:rPr>
                <w:rFonts w:eastAsia="Calibri"/>
                <w:color w:val="000000"/>
                <w:sz w:val="22"/>
                <w:szCs w:val="22"/>
                <w:lang w:eastAsia="en-US"/>
              </w:rPr>
              <w:t>).</w:t>
            </w:r>
          </w:p>
          <w:p w:rsidR="002058FE" w:rsidRPr="002058FE" w:rsidRDefault="002058FE" w:rsidP="002058FE">
            <w:pPr>
              <w:numPr>
                <w:ilvl w:val="0"/>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Uchwyty próbek stałych: minimum 30 szt.</w:t>
            </w:r>
          </w:p>
          <w:p w:rsidR="002058FE" w:rsidRPr="002058FE" w:rsidRDefault="002058FE" w:rsidP="002058FE">
            <w:pPr>
              <w:numPr>
                <w:ilvl w:val="0"/>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Uchwyty próbek ciekłych: minimum 10 szt.</w:t>
            </w:r>
          </w:p>
          <w:p w:rsidR="002058FE" w:rsidRPr="002058FE" w:rsidRDefault="002058FE" w:rsidP="002058FE">
            <w:pPr>
              <w:numPr>
                <w:ilvl w:val="0"/>
                <w:numId w:val="16"/>
              </w:numPr>
              <w:autoSpaceDE w:val="0"/>
              <w:autoSpaceDN w:val="0"/>
              <w:adjustRightInd w:val="0"/>
              <w:spacing w:line="360" w:lineRule="auto"/>
              <w:rPr>
                <w:rFonts w:eastAsia="Calibri"/>
                <w:color w:val="000000"/>
                <w:sz w:val="22"/>
                <w:szCs w:val="22"/>
                <w:lang w:eastAsia="en-US"/>
              </w:rPr>
            </w:pPr>
            <w:r w:rsidRPr="002058FE">
              <w:rPr>
                <w:rFonts w:eastAsia="Calibri"/>
                <w:color w:val="000000"/>
                <w:sz w:val="22"/>
                <w:szCs w:val="22"/>
                <w:lang w:eastAsia="en-US"/>
              </w:rPr>
              <w:t>Tacki do zmieniacza próbek: minimum 4 szt.</w:t>
            </w:r>
          </w:p>
          <w:p w:rsidR="002058FE" w:rsidRPr="002058FE" w:rsidRDefault="002058FE" w:rsidP="002058FE">
            <w:pPr>
              <w:spacing w:before="240" w:after="240" w:line="360" w:lineRule="auto"/>
              <w:jc w:val="center"/>
              <w:rPr>
                <w:b/>
                <w:sz w:val="22"/>
                <w:szCs w:val="22"/>
              </w:rPr>
            </w:pPr>
            <w:r w:rsidRPr="002058FE">
              <w:rPr>
                <w:b/>
                <w:sz w:val="22"/>
                <w:szCs w:val="22"/>
              </w:rPr>
              <w:t>Wymagania dodatkowe:</w:t>
            </w:r>
          </w:p>
          <w:p w:rsidR="002058FE" w:rsidRPr="002058FE" w:rsidRDefault="002058FE" w:rsidP="002058FE">
            <w:pPr>
              <w:numPr>
                <w:ilvl w:val="0"/>
                <w:numId w:val="17"/>
              </w:numPr>
              <w:spacing w:line="360" w:lineRule="auto"/>
              <w:rPr>
                <w:sz w:val="22"/>
                <w:szCs w:val="22"/>
              </w:rPr>
            </w:pPr>
            <w:r w:rsidRPr="002058FE">
              <w:rPr>
                <w:sz w:val="22"/>
                <w:szCs w:val="22"/>
              </w:rPr>
              <w:t>Dostawca zapewnia szkolenie z zakresu obsługi aparatury, przygotowania próbek i analizy danych dla 10 osób</w:t>
            </w:r>
          </w:p>
          <w:p w:rsidR="002058FE" w:rsidRPr="002058FE" w:rsidRDefault="002058FE" w:rsidP="002058FE">
            <w:pPr>
              <w:numPr>
                <w:ilvl w:val="0"/>
                <w:numId w:val="17"/>
              </w:numPr>
              <w:spacing w:line="360" w:lineRule="auto"/>
              <w:rPr>
                <w:sz w:val="22"/>
                <w:szCs w:val="22"/>
              </w:rPr>
            </w:pPr>
            <w:r w:rsidRPr="002058FE">
              <w:rPr>
                <w:sz w:val="22"/>
                <w:szCs w:val="22"/>
              </w:rPr>
              <w:t>Rozładunek oraz instalacja aparatury w pomieszczeniach zamawiającego</w:t>
            </w:r>
          </w:p>
          <w:p w:rsidR="002058FE" w:rsidRPr="002058FE" w:rsidRDefault="002058FE" w:rsidP="002058FE">
            <w:pPr>
              <w:numPr>
                <w:ilvl w:val="0"/>
                <w:numId w:val="17"/>
              </w:numPr>
              <w:spacing w:line="360" w:lineRule="auto"/>
              <w:rPr>
                <w:sz w:val="22"/>
                <w:szCs w:val="22"/>
              </w:rPr>
            </w:pPr>
            <w:r w:rsidRPr="002058FE">
              <w:rPr>
                <w:sz w:val="22"/>
                <w:szCs w:val="22"/>
              </w:rPr>
              <w:t>Czas reakcji serwisu: do 48 godz.</w:t>
            </w:r>
          </w:p>
          <w:p w:rsidR="002058FE" w:rsidRPr="002058FE" w:rsidRDefault="002058FE" w:rsidP="002058FE">
            <w:pPr>
              <w:numPr>
                <w:ilvl w:val="0"/>
                <w:numId w:val="17"/>
              </w:numPr>
              <w:spacing w:line="360" w:lineRule="auto"/>
              <w:rPr>
                <w:sz w:val="22"/>
                <w:szCs w:val="22"/>
              </w:rPr>
            </w:pPr>
            <w:r w:rsidRPr="002058FE">
              <w:rPr>
                <w:sz w:val="22"/>
                <w:szCs w:val="22"/>
              </w:rPr>
              <w:t xml:space="preserve">Termin realizacji: do </w:t>
            </w:r>
            <w:r>
              <w:rPr>
                <w:sz w:val="22"/>
                <w:szCs w:val="22"/>
              </w:rPr>
              <w:t xml:space="preserve">25 </w:t>
            </w:r>
            <w:r w:rsidRPr="002058FE">
              <w:rPr>
                <w:sz w:val="22"/>
                <w:szCs w:val="22"/>
              </w:rPr>
              <w:t>tygodni</w:t>
            </w:r>
            <w:r>
              <w:rPr>
                <w:sz w:val="22"/>
                <w:szCs w:val="22"/>
              </w:rPr>
              <w:t xml:space="preserve"> od daty podpisania umowy</w:t>
            </w:r>
          </w:p>
          <w:p w:rsidR="00CC4EFB" w:rsidRDefault="002058FE" w:rsidP="002058FE">
            <w:pPr>
              <w:numPr>
                <w:ilvl w:val="0"/>
                <w:numId w:val="17"/>
              </w:numPr>
              <w:spacing w:line="360" w:lineRule="auto"/>
              <w:rPr>
                <w:sz w:val="22"/>
                <w:szCs w:val="22"/>
              </w:rPr>
            </w:pPr>
            <w:r w:rsidRPr="002058FE">
              <w:rPr>
                <w:sz w:val="22"/>
                <w:szCs w:val="22"/>
              </w:rPr>
              <w:t>Okres gwarancji: min. 24 miesiące</w:t>
            </w:r>
          </w:p>
          <w:p w:rsidR="00D84C75" w:rsidRPr="002058FE" w:rsidRDefault="00D84C75" w:rsidP="00D84C75">
            <w:pPr>
              <w:spacing w:line="360" w:lineRule="auto"/>
              <w:rPr>
                <w:sz w:val="22"/>
                <w:szCs w:val="22"/>
              </w:rPr>
            </w:pPr>
          </w:p>
        </w:tc>
      </w:tr>
    </w:tbl>
    <w:p w:rsidR="00CC4EFB" w:rsidRPr="00155C50" w:rsidRDefault="00CC4EFB" w:rsidP="00CC4EFB">
      <w:pPr>
        <w:numPr>
          <w:ilvl w:val="1"/>
          <w:numId w:val="3"/>
        </w:numPr>
        <w:spacing w:before="60"/>
        <w:jc w:val="both"/>
        <w:outlineLvl w:val="1"/>
        <w:rPr>
          <w:bCs/>
          <w:iCs/>
          <w:color w:val="000000"/>
        </w:rPr>
      </w:pPr>
      <w:r w:rsidRPr="00155C50">
        <w:rPr>
          <w:bCs/>
          <w:iCs/>
          <w:color w:val="000000"/>
        </w:rPr>
        <w:lastRenderedPageBreak/>
        <w:t xml:space="preserve">Zamawiający dopuszcza składanie ofert równoważnych. W przypadkach, kiedy w opisie przedmiotu zamówienia wskazane zostały znaki towarowe, patenty, pochodzenie, źródło lub szczególny proces, charakteryzujące określone produkty lub usługi, oznacza to, </w:t>
      </w:r>
      <w:r w:rsidRPr="00155C50">
        <w:rPr>
          <w:bCs/>
          <w:iCs/>
          <w:color w:val="000000"/>
        </w:rPr>
        <w:br/>
        <w:t xml:space="preserve">że Zamawiający nie może opisać przedmiotu zamówienia za pomocą dostatecznie dokładnych określeń i jest to uzasadnione specyfiką przedmiotu zamówienia. W takich sytuacjach ewentualne wskazania na znaki towarowe, patenty, pochodzenie, </w:t>
      </w:r>
      <w:r w:rsidRPr="00155C50">
        <w:rPr>
          <w:bCs/>
          <w:iCs/>
          <w:color w:val="000000"/>
        </w:rPr>
        <w:br/>
        <w:t xml:space="preserve">źródło lub szczególny proces, należy odczytywać z wyrazami „lub równoważne”. </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155C50">
        <w:rPr>
          <w:bCs/>
          <w:iCs/>
          <w:color w:val="000000"/>
        </w:rPr>
        <w:t>Pzp</w:t>
      </w:r>
      <w:proofErr w:type="spellEnd"/>
      <w:r w:rsidRPr="00155C50">
        <w:rPr>
          <w:bCs/>
          <w:iCs/>
          <w:color w:val="000000"/>
        </w:rPr>
        <w:t xml:space="preserve">, dopuszcza rozwiązania równoważne opisywanym. </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Zamawiający nie dopuszcza składania ofert wariantowych. </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W przypadku, gdy Wykonawca zamierza zrealizować przedmiot zamówienia z udziałem podwykonawców, Zamawiający żąda wskazania przez Wykonawcę części zamówienia, </w:t>
      </w:r>
      <w:r w:rsidRPr="00155C50">
        <w:rPr>
          <w:bCs/>
          <w:iCs/>
          <w:color w:val="000000"/>
        </w:rPr>
        <w:lastRenderedPageBreak/>
        <w:t xml:space="preserve">której wykonanie zamierza powierzyć podwykonawcom i podania firm tych podwykonawców (zgodnie z treścią formularza oferty – załącznika nr 1 do SIWZ). </w:t>
      </w:r>
    </w:p>
    <w:p w:rsidR="00CC4EFB" w:rsidRPr="00155C50" w:rsidRDefault="00CC4EFB" w:rsidP="00CC4EFB">
      <w:pPr>
        <w:spacing w:before="60"/>
        <w:ind w:left="680"/>
        <w:jc w:val="both"/>
        <w:outlineLvl w:val="1"/>
        <w:rPr>
          <w:bCs/>
          <w:iCs/>
          <w:color w:val="000000"/>
        </w:rPr>
      </w:pPr>
      <w:r w:rsidRPr="00155C50">
        <w:rPr>
          <w:bCs/>
          <w:iCs/>
          <w:color w:val="000000"/>
        </w:rPr>
        <w:t>W przypadku, kiedy Wykonawca nie wskaże w ofercie części, którą zamierza powierzyć podwykonawcom, Zamawiający przyjmie, że Wykonawca zrealizuje zamówienie samodzielnie.</w:t>
      </w:r>
    </w:p>
    <w:p w:rsidR="00CC4EFB" w:rsidRPr="00155C50" w:rsidRDefault="00CC4EFB" w:rsidP="00CC4EFB">
      <w:pPr>
        <w:numPr>
          <w:ilvl w:val="1"/>
          <w:numId w:val="3"/>
        </w:numPr>
        <w:spacing w:before="60"/>
        <w:jc w:val="both"/>
        <w:outlineLvl w:val="1"/>
        <w:rPr>
          <w:bCs/>
          <w:iCs/>
          <w:color w:val="000000"/>
        </w:rPr>
      </w:pPr>
      <w:r w:rsidRPr="00155C50">
        <w:rPr>
          <w:bCs/>
          <w:iCs/>
          <w:color w:val="000000"/>
        </w:rPr>
        <w:t>Zamawiający nie zastrzega obowiązku osobistego wykonania przez Wykonawcę prac związanych z rozmieszczeniem i instalacją.</w:t>
      </w:r>
    </w:p>
    <w:p w:rsidR="00CC4EFB" w:rsidRPr="00155C50" w:rsidRDefault="00CC4EFB" w:rsidP="00CC4EFB">
      <w:pPr>
        <w:numPr>
          <w:ilvl w:val="1"/>
          <w:numId w:val="3"/>
        </w:numPr>
        <w:spacing w:before="60"/>
        <w:jc w:val="both"/>
        <w:outlineLvl w:val="1"/>
        <w:rPr>
          <w:bCs/>
          <w:iCs/>
          <w:color w:val="000000"/>
        </w:rPr>
      </w:pPr>
      <w:r w:rsidRPr="00155C50">
        <w:rPr>
          <w:bCs/>
          <w:iCs/>
          <w:color w:val="000000"/>
        </w:rPr>
        <w:t>Zamawiający nie dopuszcza składania ofert częściowych.</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Zamawiający nie przewiduje udzielenia zamówień na dodatkowe dostawy w rozumieniu przepisu art. 67 ust. 1 pkt 7 ustawy </w:t>
      </w:r>
      <w:proofErr w:type="spellStart"/>
      <w:r w:rsidRPr="00155C50">
        <w:rPr>
          <w:bCs/>
          <w:iCs/>
          <w:color w:val="000000"/>
        </w:rPr>
        <w:t>Pzp</w:t>
      </w:r>
      <w:proofErr w:type="spellEnd"/>
      <w:r w:rsidRPr="00155C50">
        <w:rPr>
          <w:bCs/>
          <w:iCs/>
          <w:color w:val="000000"/>
        </w:rPr>
        <w:t xml:space="preserve">. </w:t>
      </w:r>
    </w:p>
    <w:p w:rsidR="00CC4EFB" w:rsidRPr="00155C50" w:rsidRDefault="00CC4EFB" w:rsidP="00CC4EFB">
      <w:pPr>
        <w:numPr>
          <w:ilvl w:val="1"/>
          <w:numId w:val="3"/>
        </w:numPr>
        <w:spacing w:before="60"/>
        <w:jc w:val="both"/>
        <w:outlineLvl w:val="1"/>
        <w:rPr>
          <w:bCs/>
          <w:iCs/>
          <w:color w:val="000000"/>
        </w:rPr>
      </w:pPr>
      <w:r w:rsidRPr="00155C50">
        <w:rPr>
          <w:bCs/>
          <w:iCs/>
          <w:color w:val="000000"/>
        </w:rPr>
        <w:t>Wykonawca zobowiązany jest do jednoznacznego określenia zaoferowanych w ofercie produktów</w:t>
      </w:r>
      <w:r>
        <w:rPr>
          <w:bCs/>
          <w:iCs/>
          <w:color w:val="000000"/>
        </w:rPr>
        <w:t xml:space="preserve"> tj. spektrometru, charakteryzując go</w:t>
      </w:r>
      <w:r w:rsidRPr="00155C50">
        <w:rPr>
          <w:bCs/>
          <w:iCs/>
          <w:color w:val="000000"/>
        </w:rPr>
        <w:t xml:space="preserve"> poprzez wskazanie na konkretny wyrób (producent/</w:t>
      </w:r>
      <w:r>
        <w:rPr>
          <w:bCs/>
          <w:iCs/>
          <w:color w:val="000000"/>
        </w:rPr>
        <w:t>typ/</w:t>
      </w:r>
      <w:r w:rsidRPr="00155C50">
        <w:rPr>
          <w:bCs/>
          <w:iCs/>
          <w:color w:val="000000"/>
        </w:rPr>
        <w:t>model) zgodnie z treścią formularza ofertowego (załącznik nr 1).</w:t>
      </w:r>
    </w:p>
    <w:p w:rsidR="00CC4EFB" w:rsidRPr="00155C50" w:rsidRDefault="00CC4EFB" w:rsidP="00CC4EFB">
      <w:pPr>
        <w:numPr>
          <w:ilvl w:val="0"/>
          <w:numId w:val="3"/>
        </w:numPr>
        <w:spacing w:before="240" w:after="120"/>
        <w:jc w:val="both"/>
        <w:outlineLvl w:val="0"/>
        <w:rPr>
          <w:b/>
          <w:bCs/>
          <w:caps/>
          <w:kern w:val="32"/>
        </w:rPr>
      </w:pPr>
      <w:r w:rsidRPr="00155C50">
        <w:rPr>
          <w:b/>
          <w:bCs/>
          <w:caps/>
          <w:kern w:val="32"/>
        </w:rPr>
        <w:t xml:space="preserve">Termin wykonania zamówienia </w:t>
      </w:r>
    </w:p>
    <w:p w:rsidR="00CC4EFB" w:rsidRDefault="00CC4EFB" w:rsidP="00CC4EFB">
      <w:pPr>
        <w:spacing w:after="120"/>
        <w:ind w:left="540"/>
        <w:rPr>
          <w:b/>
        </w:rPr>
      </w:pPr>
      <w:r w:rsidRPr="00253E99">
        <w:t>Zamówienie musi zostać zrealizowane w terminie:</w:t>
      </w:r>
      <w:r w:rsidRPr="00253E99">
        <w:rPr>
          <w:b/>
        </w:rPr>
        <w:t xml:space="preserve"> do </w:t>
      </w:r>
      <w:r w:rsidR="00253E99" w:rsidRPr="00253E99">
        <w:rPr>
          <w:b/>
        </w:rPr>
        <w:t>25 tygodni</w:t>
      </w:r>
      <w:r w:rsidRPr="00253E99">
        <w:rPr>
          <w:b/>
        </w:rPr>
        <w:t xml:space="preserve"> od</w:t>
      </w:r>
      <w:r w:rsidRPr="00155C50">
        <w:rPr>
          <w:b/>
        </w:rPr>
        <w:t xml:space="preserve"> daty podpisania umowy </w:t>
      </w:r>
    </w:p>
    <w:p w:rsidR="00CC4EFB" w:rsidRPr="00CC4EFB" w:rsidRDefault="00CC4EFB" w:rsidP="00CC4EFB">
      <w:pPr>
        <w:spacing w:after="120"/>
        <w:ind w:left="540"/>
        <w:rPr>
          <w:b/>
          <w:u w:val="single"/>
        </w:rPr>
      </w:pPr>
      <w:r w:rsidRPr="00CC4EFB">
        <w:rPr>
          <w:b/>
          <w:u w:val="single"/>
        </w:rPr>
        <w:t>Termin realizacji zamówienia jest kryterium oceny ofert</w:t>
      </w:r>
      <w:r w:rsidRPr="00CC4EFB">
        <w:rPr>
          <w:u w:val="single"/>
        </w:rPr>
        <w:t>.</w:t>
      </w:r>
    </w:p>
    <w:p w:rsidR="00CC4EFB" w:rsidRPr="00155C50" w:rsidRDefault="00CC4EFB" w:rsidP="00CC4EFB">
      <w:pPr>
        <w:numPr>
          <w:ilvl w:val="0"/>
          <w:numId w:val="3"/>
        </w:numPr>
        <w:spacing w:before="240" w:after="120"/>
        <w:jc w:val="both"/>
        <w:outlineLvl w:val="0"/>
        <w:rPr>
          <w:b/>
          <w:bCs/>
          <w:caps/>
          <w:kern w:val="32"/>
        </w:rPr>
      </w:pPr>
      <w:r w:rsidRPr="00155C50">
        <w:rPr>
          <w:b/>
          <w:bCs/>
          <w:caps/>
          <w:kern w:val="32"/>
        </w:rPr>
        <w:t xml:space="preserve">Warunki udziału w postępowaniu </w:t>
      </w:r>
    </w:p>
    <w:p w:rsidR="00CC4EFB" w:rsidRPr="00155C50" w:rsidRDefault="00CC4EFB" w:rsidP="00CC4EFB">
      <w:pPr>
        <w:numPr>
          <w:ilvl w:val="1"/>
          <w:numId w:val="3"/>
        </w:numPr>
        <w:spacing w:before="60"/>
        <w:jc w:val="both"/>
        <w:outlineLvl w:val="1"/>
        <w:rPr>
          <w:bCs/>
          <w:iCs/>
          <w:color w:val="000000"/>
        </w:rPr>
      </w:pPr>
      <w:r w:rsidRPr="00155C50">
        <w:rPr>
          <w:bCs/>
          <w:iCs/>
          <w:color w:val="000000"/>
        </w:rPr>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C4EFB" w:rsidRPr="00155C50" w:rsidTr="00D72B0F">
        <w:tc>
          <w:tcPr>
            <w:tcW w:w="720" w:type="dxa"/>
            <w:tcBorders>
              <w:top w:val="single" w:sz="4" w:space="0" w:color="auto"/>
              <w:left w:val="single" w:sz="4" w:space="0" w:color="auto"/>
              <w:bottom w:val="single" w:sz="4" w:space="0" w:color="auto"/>
              <w:right w:val="single" w:sz="4" w:space="0" w:color="auto"/>
            </w:tcBorders>
            <w:vAlign w:val="center"/>
            <w:hideMark/>
          </w:tcPr>
          <w:p w:rsidR="00CC4EFB" w:rsidRPr="00155C50" w:rsidRDefault="00CC4EFB" w:rsidP="00D72B0F">
            <w:pPr>
              <w:spacing w:before="60" w:after="120"/>
              <w:jc w:val="center"/>
              <w:rPr>
                <w:b/>
              </w:rPr>
            </w:pPr>
            <w:r w:rsidRPr="00155C50">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CC4EFB" w:rsidRPr="00155C50" w:rsidRDefault="00CC4EFB" w:rsidP="00D72B0F">
            <w:pPr>
              <w:spacing w:before="60" w:after="120"/>
            </w:pPr>
            <w:r w:rsidRPr="00155C50">
              <w:rPr>
                <w:b/>
              </w:rPr>
              <w:t>Warunki udziału w postępowaniu</w:t>
            </w:r>
          </w:p>
        </w:tc>
      </w:tr>
      <w:tr w:rsidR="00CC4EFB" w:rsidRPr="00155C50" w:rsidTr="00D72B0F">
        <w:tc>
          <w:tcPr>
            <w:tcW w:w="720" w:type="dxa"/>
            <w:tcBorders>
              <w:top w:val="single" w:sz="4" w:space="0" w:color="auto"/>
              <w:left w:val="single" w:sz="4" w:space="0" w:color="auto"/>
              <w:bottom w:val="single" w:sz="4" w:space="0" w:color="auto"/>
              <w:right w:val="single" w:sz="4" w:space="0" w:color="auto"/>
            </w:tcBorders>
            <w:hideMark/>
          </w:tcPr>
          <w:p w:rsidR="00CC4EFB" w:rsidRPr="00155C50" w:rsidRDefault="00CC4EFB" w:rsidP="00D72B0F">
            <w:pPr>
              <w:spacing w:before="60" w:after="120"/>
              <w:jc w:val="both"/>
            </w:pPr>
            <w:r w:rsidRPr="00155C50">
              <w:t>1</w:t>
            </w:r>
          </w:p>
        </w:tc>
        <w:tc>
          <w:tcPr>
            <w:tcW w:w="7738" w:type="dxa"/>
            <w:tcBorders>
              <w:top w:val="single" w:sz="4" w:space="0" w:color="auto"/>
              <w:left w:val="single" w:sz="4" w:space="0" w:color="auto"/>
              <w:bottom w:val="single" w:sz="4" w:space="0" w:color="auto"/>
              <w:right w:val="single" w:sz="4" w:space="0" w:color="auto"/>
            </w:tcBorders>
            <w:hideMark/>
          </w:tcPr>
          <w:p w:rsidR="00CC4EFB" w:rsidRPr="00155C50" w:rsidRDefault="00CC4EFB" w:rsidP="00D72B0F">
            <w:pPr>
              <w:spacing w:before="60" w:after="120"/>
              <w:jc w:val="both"/>
              <w:rPr>
                <w:b/>
                <w:bCs/>
              </w:rPr>
            </w:pPr>
            <w:r w:rsidRPr="00155C50">
              <w:rPr>
                <w:b/>
                <w:bCs/>
              </w:rPr>
              <w:t>Kompetencje lub uprawnienia do prowadzenia określonej działalności zawodowej, o ile wynika to z odrębnych przepisów</w:t>
            </w:r>
          </w:p>
          <w:p w:rsidR="00CC4EFB" w:rsidRPr="00155C50" w:rsidRDefault="00CC4EFB" w:rsidP="00D72B0F">
            <w:pPr>
              <w:spacing w:before="60" w:after="120"/>
              <w:jc w:val="both"/>
            </w:pPr>
            <w:r w:rsidRPr="00155C50">
              <w:t>Zamawiający nie opisuje, nie wyznacza szczegółowego warunku w tym zakresie.</w:t>
            </w:r>
          </w:p>
        </w:tc>
      </w:tr>
      <w:tr w:rsidR="00CC4EFB" w:rsidRPr="00155C50" w:rsidTr="00D72B0F">
        <w:tc>
          <w:tcPr>
            <w:tcW w:w="720" w:type="dxa"/>
            <w:tcBorders>
              <w:top w:val="single" w:sz="4" w:space="0" w:color="auto"/>
              <w:left w:val="single" w:sz="4" w:space="0" w:color="auto"/>
              <w:bottom w:val="single" w:sz="4" w:space="0" w:color="auto"/>
              <w:right w:val="single" w:sz="4" w:space="0" w:color="auto"/>
            </w:tcBorders>
            <w:hideMark/>
          </w:tcPr>
          <w:p w:rsidR="00CC4EFB" w:rsidRPr="00155C50" w:rsidRDefault="00CC4EFB" w:rsidP="00D72B0F">
            <w:pPr>
              <w:spacing w:before="60" w:after="120"/>
              <w:jc w:val="both"/>
            </w:pPr>
            <w:r w:rsidRPr="00155C50">
              <w:t>2</w:t>
            </w:r>
          </w:p>
        </w:tc>
        <w:tc>
          <w:tcPr>
            <w:tcW w:w="7738" w:type="dxa"/>
            <w:tcBorders>
              <w:top w:val="single" w:sz="4" w:space="0" w:color="auto"/>
              <w:left w:val="single" w:sz="4" w:space="0" w:color="auto"/>
              <w:bottom w:val="single" w:sz="4" w:space="0" w:color="auto"/>
              <w:right w:val="single" w:sz="4" w:space="0" w:color="auto"/>
            </w:tcBorders>
            <w:hideMark/>
          </w:tcPr>
          <w:p w:rsidR="00CC4EFB" w:rsidRPr="00155C50" w:rsidRDefault="00CC4EFB" w:rsidP="00D72B0F">
            <w:pPr>
              <w:spacing w:before="60" w:after="120"/>
              <w:jc w:val="both"/>
              <w:rPr>
                <w:b/>
                <w:bCs/>
              </w:rPr>
            </w:pPr>
            <w:r w:rsidRPr="00155C50">
              <w:rPr>
                <w:b/>
                <w:bCs/>
              </w:rPr>
              <w:t>Zdolność techniczna lub zawodowa</w:t>
            </w:r>
          </w:p>
          <w:p w:rsidR="00CC4EFB" w:rsidRPr="00155C50" w:rsidRDefault="00CC4EFB" w:rsidP="00D72B0F">
            <w:pPr>
              <w:spacing w:before="60" w:after="120"/>
              <w:jc w:val="both"/>
            </w:pPr>
            <w:r w:rsidRPr="00155C50">
              <w:t>Zamawiający nie opisuje, nie wyznacza szczegółowego warunku w tym zakresie.</w:t>
            </w:r>
          </w:p>
        </w:tc>
      </w:tr>
      <w:tr w:rsidR="00CC4EFB" w:rsidRPr="00155C50" w:rsidTr="00D72B0F">
        <w:tc>
          <w:tcPr>
            <w:tcW w:w="720" w:type="dxa"/>
            <w:tcBorders>
              <w:top w:val="single" w:sz="4" w:space="0" w:color="auto"/>
              <w:left w:val="single" w:sz="4" w:space="0" w:color="auto"/>
              <w:bottom w:val="single" w:sz="4" w:space="0" w:color="auto"/>
              <w:right w:val="single" w:sz="4" w:space="0" w:color="auto"/>
            </w:tcBorders>
            <w:hideMark/>
          </w:tcPr>
          <w:p w:rsidR="00CC4EFB" w:rsidRPr="00155C50" w:rsidRDefault="00CC4EFB" w:rsidP="00D72B0F">
            <w:pPr>
              <w:spacing w:before="60" w:after="120"/>
              <w:jc w:val="both"/>
            </w:pPr>
            <w:r w:rsidRPr="00155C50">
              <w:t>3</w:t>
            </w:r>
          </w:p>
        </w:tc>
        <w:tc>
          <w:tcPr>
            <w:tcW w:w="7738" w:type="dxa"/>
            <w:tcBorders>
              <w:top w:val="single" w:sz="4" w:space="0" w:color="auto"/>
              <w:left w:val="single" w:sz="4" w:space="0" w:color="auto"/>
              <w:bottom w:val="single" w:sz="4" w:space="0" w:color="auto"/>
              <w:right w:val="single" w:sz="4" w:space="0" w:color="auto"/>
            </w:tcBorders>
            <w:hideMark/>
          </w:tcPr>
          <w:p w:rsidR="00CC4EFB" w:rsidRPr="00155C50" w:rsidRDefault="00CC4EFB" w:rsidP="00D72B0F">
            <w:pPr>
              <w:spacing w:before="60" w:after="120"/>
              <w:jc w:val="both"/>
              <w:rPr>
                <w:b/>
                <w:bCs/>
              </w:rPr>
            </w:pPr>
            <w:r w:rsidRPr="00155C50">
              <w:rPr>
                <w:b/>
                <w:bCs/>
              </w:rPr>
              <w:t>Sytuacja ekonomiczna lub finansowa</w:t>
            </w:r>
          </w:p>
          <w:p w:rsidR="00CC4EFB" w:rsidRPr="00155C50" w:rsidRDefault="00CC4EFB" w:rsidP="00D72B0F">
            <w:pPr>
              <w:spacing w:before="60" w:after="120"/>
              <w:jc w:val="both"/>
            </w:pPr>
            <w:r w:rsidRPr="00155C50">
              <w:t>Zamawiający nie opisuje, nie wyznacza szczegółowego warunku w tym zakresie.</w:t>
            </w:r>
          </w:p>
        </w:tc>
      </w:tr>
    </w:tbl>
    <w:p w:rsidR="00CC4EFB" w:rsidRPr="00155C50" w:rsidRDefault="00CC4EFB" w:rsidP="00CC4EFB">
      <w:pPr>
        <w:numPr>
          <w:ilvl w:val="0"/>
          <w:numId w:val="3"/>
        </w:numPr>
        <w:spacing w:before="240" w:after="120"/>
        <w:jc w:val="both"/>
        <w:outlineLvl w:val="0"/>
        <w:rPr>
          <w:b/>
          <w:bCs/>
          <w:caps/>
          <w:kern w:val="32"/>
        </w:rPr>
      </w:pPr>
      <w:r w:rsidRPr="00155C50">
        <w:rPr>
          <w:b/>
          <w:bCs/>
          <w:caps/>
          <w:kern w:val="32"/>
        </w:rPr>
        <w:t>PODSTAWY WYKLUCZENIA Z POSTĘPOWANIA</w:t>
      </w:r>
    </w:p>
    <w:p w:rsidR="00CC4EFB" w:rsidRPr="00155C50" w:rsidRDefault="00CC4EFB" w:rsidP="00CC4EFB">
      <w:pPr>
        <w:numPr>
          <w:ilvl w:val="1"/>
          <w:numId w:val="3"/>
        </w:numPr>
        <w:spacing w:before="60"/>
        <w:jc w:val="both"/>
        <w:outlineLvl w:val="1"/>
        <w:rPr>
          <w:bCs/>
          <w:iCs/>
          <w:color w:val="000000"/>
        </w:rPr>
      </w:pPr>
      <w:r w:rsidRPr="00155C50">
        <w:rPr>
          <w:bCs/>
          <w:iCs/>
          <w:color w:val="000000"/>
        </w:rPr>
        <w:t>Zamawiający wykluczy z postępowania wykonawców:</w:t>
      </w:r>
    </w:p>
    <w:p w:rsidR="00CC4EFB" w:rsidRPr="00155C50" w:rsidRDefault="00CC4EFB" w:rsidP="00CC4EFB">
      <w:pPr>
        <w:numPr>
          <w:ilvl w:val="0"/>
          <w:numId w:val="4"/>
        </w:numPr>
        <w:spacing w:after="120"/>
        <w:ind w:left="993" w:hanging="284"/>
      </w:pPr>
      <w:r w:rsidRPr="00155C50">
        <w:t xml:space="preserve">którzy nie wykażą, że nie zachodzą wobec nich przesłanki określone </w:t>
      </w:r>
      <w:r w:rsidRPr="00155C50">
        <w:br/>
        <w:t xml:space="preserve">w art. 24 ust. 1 pkt 12-23 ustawy </w:t>
      </w:r>
      <w:proofErr w:type="spellStart"/>
      <w:r w:rsidRPr="00155C50">
        <w:t>Pzp</w:t>
      </w:r>
      <w:proofErr w:type="spellEnd"/>
      <w:r w:rsidRPr="00155C50">
        <w:t>,</w:t>
      </w:r>
    </w:p>
    <w:p w:rsidR="00CC4EFB" w:rsidRPr="00155C50" w:rsidRDefault="00CC4EFB" w:rsidP="00CC4EFB">
      <w:pPr>
        <w:numPr>
          <w:ilvl w:val="0"/>
          <w:numId w:val="4"/>
        </w:numPr>
        <w:spacing w:after="120"/>
        <w:ind w:left="993" w:hanging="284"/>
      </w:pPr>
      <w:r w:rsidRPr="00155C50">
        <w:t xml:space="preserve">wobec których zachodzą przesłanki określone w art. 24 ust. 5 pkt 1 i 8 ustawy </w:t>
      </w:r>
      <w:proofErr w:type="spellStart"/>
      <w:r w:rsidRPr="00155C50">
        <w:t>Pzp</w:t>
      </w:r>
      <w:proofErr w:type="spellEnd"/>
      <w:r w:rsidRPr="00155C50">
        <w:t xml:space="preserve">., </w:t>
      </w:r>
      <w:proofErr w:type="spellStart"/>
      <w:r w:rsidRPr="00155C50">
        <w:t>tj</w:t>
      </w:r>
      <w:proofErr w:type="spellEnd"/>
      <w:r w:rsidRPr="00155C50">
        <w:rPr>
          <w:bCs/>
        </w:rPr>
        <w:t xml:space="preserve">: </w:t>
      </w:r>
    </w:p>
    <w:p w:rsidR="00CC4EFB" w:rsidRPr="00155C50" w:rsidRDefault="00CC4EFB" w:rsidP="00CC4EFB">
      <w:pPr>
        <w:numPr>
          <w:ilvl w:val="0"/>
          <w:numId w:val="5"/>
        </w:numPr>
        <w:spacing w:after="120"/>
        <w:jc w:val="both"/>
      </w:pPr>
      <w:r w:rsidRPr="00155C50">
        <w:rPr>
          <w:bCs/>
        </w:rPr>
        <w:t xml:space="preserve">w stosunku do którego otwarto likwidację, w zatwierdzonym przez sąd układzie </w:t>
      </w:r>
      <w:r w:rsidRPr="00155C50">
        <w:rPr>
          <w:bCs/>
        </w:rPr>
        <w:br/>
        <w:t xml:space="preserve">w postępowaniu restrukturyzacyjnym jest przewidziane zaspokojenie wierzycieli przez likwidację jego majątku lub sąd zarządził likwidację jego majątku w trybie </w:t>
      </w:r>
      <w:r w:rsidRPr="00155C50">
        <w:rPr>
          <w:bCs/>
        </w:rPr>
        <w:lastRenderedPageBreak/>
        <w:t xml:space="preserve">art. 332 ust. 1 ustawy z dnia 15 maja 2015 r. – Prawo restrukturyzacyjne </w:t>
      </w:r>
      <w:r w:rsidRPr="00155C50">
        <w:rPr>
          <w:bCs/>
        </w:rPr>
        <w:br/>
        <w:t xml:space="preserve">(Dz. U. z 2015 r. poz. 978, 1259, 1513, 1830 i 1844 oraz z 2016 r. poz. 615) </w:t>
      </w:r>
      <w:r w:rsidRPr="00155C50">
        <w:rPr>
          <w:bCs/>
        </w:rPr>
        <w:b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C4EFB" w:rsidRPr="00155C50" w:rsidRDefault="00CC4EFB" w:rsidP="00CC4EFB">
      <w:pPr>
        <w:numPr>
          <w:ilvl w:val="0"/>
          <w:numId w:val="5"/>
        </w:numPr>
        <w:spacing w:after="120"/>
        <w:jc w:val="both"/>
      </w:pPr>
      <w:r w:rsidRPr="00155C50">
        <w:rPr>
          <w:bCs/>
        </w:rPr>
        <w:t xml:space="preserve">który naruszył obowiązki dotyczące płatności podatków, opłat lub składek </w:t>
      </w:r>
      <w:r w:rsidRPr="00155C50">
        <w:rPr>
          <w:bCs/>
        </w:rPr>
        <w:br/>
        <w:t xml:space="preserve">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CC4EFB" w:rsidRPr="00155C50" w:rsidRDefault="00CC4EFB" w:rsidP="00CC4EFB">
      <w:pPr>
        <w:numPr>
          <w:ilvl w:val="1"/>
          <w:numId w:val="1"/>
        </w:numPr>
        <w:spacing w:before="60"/>
        <w:jc w:val="both"/>
        <w:outlineLvl w:val="1"/>
        <w:rPr>
          <w:bCs/>
          <w:iCs/>
          <w:color w:val="000000"/>
        </w:rPr>
      </w:pPr>
      <w:r w:rsidRPr="00155C50">
        <w:rPr>
          <w:bCs/>
          <w:iCs/>
          <w:color w:val="000000"/>
        </w:rPr>
        <w:t xml:space="preserve">Zamawiający może wykluczyć wykonawcę na każdym etapie postępowania o udzielenie zamówienia. </w:t>
      </w:r>
    </w:p>
    <w:p w:rsidR="00CC4EFB" w:rsidRPr="00155C50" w:rsidRDefault="00CC4EFB" w:rsidP="00CC4EFB">
      <w:pPr>
        <w:numPr>
          <w:ilvl w:val="1"/>
          <w:numId w:val="1"/>
        </w:numPr>
        <w:spacing w:before="60"/>
        <w:jc w:val="both"/>
        <w:outlineLvl w:val="1"/>
        <w:rPr>
          <w:bCs/>
          <w:iCs/>
          <w:color w:val="000000"/>
        </w:rPr>
      </w:pPr>
      <w:r w:rsidRPr="00155C50">
        <w:rPr>
          <w:bCs/>
          <w:iCs/>
          <w:color w:val="000000"/>
        </w:rPr>
        <w:t xml:space="preserve">Wykonawca, który podlega wykluczeniu na podstawie art. 24 ust. 1 pkt 13 i 14 oraz 16 –20 lub ust. 5, może przedstawić dowody na to, że podjęte przez niego środki </w:t>
      </w:r>
      <w:r w:rsidRPr="00155C50">
        <w:rPr>
          <w:bCs/>
          <w:iCs/>
          <w:color w:val="000000"/>
        </w:rPr>
        <w:br/>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CC4EFB" w:rsidRPr="00155C50" w:rsidRDefault="00CC4EFB" w:rsidP="00CC4EFB">
      <w:pPr>
        <w:numPr>
          <w:ilvl w:val="0"/>
          <w:numId w:val="3"/>
        </w:numPr>
        <w:spacing w:before="240" w:after="120"/>
        <w:jc w:val="both"/>
        <w:outlineLvl w:val="0"/>
        <w:rPr>
          <w:b/>
          <w:bCs/>
          <w:caps/>
          <w:kern w:val="32"/>
        </w:rPr>
      </w:pPr>
      <w:r w:rsidRPr="00155C50">
        <w:rPr>
          <w:b/>
          <w:bCs/>
          <w:caps/>
          <w:kern w:val="32"/>
        </w:rPr>
        <w:t xml:space="preserve">Wykaz oświadczeń i dokumentów wymaganych </w:t>
      </w:r>
      <w:r w:rsidRPr="00155C50">
        <w:rPr>
          <w:b/>
          <w:bCs/>
          <w:caps/>
          <w:kern w:val="32"/>
        </w:rPr>
        <w:br/>
        <w:t>w postępowaniu, potwierdzających spełnianie warunków udziału w postępowaniu, spełnianie przez oferowane dostawy lub usługi wymagań określonych przez Zamawiającego, brak podstaw wykluczenia.</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Oświadczenia i dokumenty składane obligatoryjnie wraz z ofertą w celu potwierdzenia spełniania warunków udziału w postępowaniu o udzielenie zamówienia i wykazania braku podstaw wykluczenia, Zamawiający żąda aby Wykonawca złożył wraz z ofertą: </w:t>
      </w:r>
    </w:p>
    <w:p w:rsidR="00CC4EFB" w:rsidRPr="00155C50" w:rsidRDefault="00CC4EFB" w:rsidP="00CC4EFB">
      <w:pPr>
        <w:numPr>
          <w:ilvl w:val="0"/>
          <w:numId w:val="10"/>
        </w:numPr>
        <w:spacing w:before="60"/>
        <w:jc w:val="both"/>
        <w:outlineLvl w:val="1"/>
        <w:rPr>
          <w:bCs/>
          <w:iCs/>
          <w:color w:val="000000"/>
        </w:rPr>
      </w:pPr>
      <w:r w:rsidRPr="00155C50">
        <w:rPr>
          <w:bCs/>
          <w:iCs/>
          <w:color w:val="000000"/>
        </w:rPr>
        <w:t xml:space="preserve">aktualne na dzień składania ofert oświadczenie Wykonawcy o braku podstaw </w:t>
      </w:r>
      <w:r w:rsidRPr="00155C50">
        <w:rPr>
          <w:bCs/>
          <w:iCs/>
          <w:color w:val="000000"/>
        </w:rPr>
        <w:br/>
        <w:t xml:space="preserve">do wykluczenia, według wzoru stanowiącego załącznik nr 2 do SIWZ. Informacje zawarte w oświadczeniu będą stanowić wstępne potwierdzenie, że wykonawca </w:t>
      </w:r>
      <w:r w:rsidRPr="00155C50">
        <w:rPr>
          <w:bCs/>
          <w:iCs/>
          <w:color w:val="000000"/>
        </w:rPr>
        <w:br/>
        <w:t>nie podlega wykluczeniu z postępowania.</w:t>
      </w:r>
    </w:p>
    <w:p w:rsidR="00CC4EFB" w:rsidRPr="00155C50" w:rsidRDefault="00CC4EFB" w:rsidP="00CC4EFB">
      <w:pPr>
        <w:numPr>
          <w:ilvl w:val="0"/>
          <w:numId w:val="10"/>
        </w:numPr>
        <w:spacing w:before="240"/>
        <w:jc w:val="both"/>
        <w:outlineLvl w:val="1"/>
        <w:rPr>
          <w:bCs/>
          <w:iCs/>
          <w:color w:val="000000"/>
        </w:rPr>
      </w:pPr>
      <w:r w:rsidRPr="00155C50">
        <w:rPr>
          <w:bCs/>
          <w:iCs/>
          <w:color w:val="000000"/>
        </w:rPr>
        <w:t>W przypadku wspólnego ubiegania się o zamówienie przez wykonawców oświadczenia, o których mowa w ust. 7 powinien złożyć każdy z wykonawców wspólnie ubiegających się o zamówienie.</w:t>
      </w:r>
    </w:p>
    <w:p w:rsidR="00CC4EFB" w:rsidRPr="00155C50" w:rsidRDefault="00CC4EFB" w:rsidP="00CC4EFB">
      <w:pPr>
        <w:numPr>
          <w:ilvl w:val="0"/>
          <w:numId w:val="10"/>
        </w:numPr>
        <w:spacing w:before="60"/>
        <w:jc w:val="both"/>
        <w:outlineLvl w:val="1"/>
        <w:rPr>
          <w:bCs/>
          <w:iCs/>
          <w:color w:val="000000"/>
        </w:rPr>
      </w:pPr>
      <w:r w:rsidRPr="00155C50">
        <w:rPr>
          <w:bCs/>
          <w:iCs/>
          <w:color w:val="000000"/>
        </w:rPr>
        <w:lastRenderedPageBreak/>
        <w:t xml:space="preserve">Opisy techniczne oferowanego sprzętu - wraz ze wskazaniem wszystkich parametrów technicznych, spełniających wymagania Zamawiającego określone w niniejszej SIWZ. </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Dodatkowe oświadczenia składane obligatoryjnie przez wszystkich wykonawców </w:t>
      </w:r>
      <w:r w:rsidRPr="00155C50">
        <w:rPr>
          <w:bCs/>
          <w:iCs/>
          <w:color w:val="000000"/>
        </w:rPr>
        <w:br/>
        <w:t xml:space="preserve">w terminie do 3 dni od dnia upublicznienia na stronie internetowej zamawiającego wykazu złożonych ofert: </w:t>
      </w:r>
    </w:p>
    <w:p w:rsidR="00CC4EFB" w:rsidRPr="00155C50" w:rsidRDefault="00CC4EFB" w:rsidP="00CC4EFB">
      <w:pPr>
        <w:spacing w:before="60"/>
        <w:ind w:left="680"/>
        <w:jc w:val="both"/>
        <w:outlineLvl w:val="1"/>
        <w:rPr>
          <w:bCs/>
          <w:iCs/>
          <w:color w:val="000000"/>
        </w:rPr>
      </w:pPr>
      <w:r w:rsidRPr="00155C50">
        <w:rPr>
          <w:bCs/>
          <w:iCs/>
          <w:color w:val="000000"/>
        </w:rPr>
        <w:t xml:space="preserve">W terminie 3 dni od dnia zamieszczenia przez Zamawiającego na stronie internetowej informacji z otwarcia ofert, o której mowa w art. 86 ust. 5 ustawy </w:t>
      </w:r>
      <w:proofErr w:type="spellStart"/>
      <w:r w:rsidRPr="00155C50">
        <w:rPr>
          <w:bCs/>
          <w:iCs/>
          <w:color w:val="000000"/>
        </w:rPr>
        <w:t>Pzp</w:t>
      </w:r>
      <w:proofErr w:type="spellEnd"/>
      <w:r w:rsidRPr="00155C50">
        <w:rPr>
          <w:bCs/>
          <w:iCs/>
          <w:color w:val="000000"/>
        </w:rPr>
        <w:t xml:space="preserve">, Wykonawca jest zobowiązany przekazać Zamawiającemu oświadczenie o przynależności lub braku przynależności do tej samej grupy kapitałowej, o której mowa w art. 24 ust. 1 pkt 23 ustawy </w:t>
      </w:r>
      <w:proofErr w:type="spellStart"/>
      <w:r w:rsidRPr="00155C50">
        <w:rPr>
          <w:bCs/>
          <w:iCs/>
          <w:color w:val="000000"/>
        </w:rPr>
        <w:t>Pzp</w:t>
      </w:r>
      <w:proofErr w:type="spellEnd"/>
      <w:r w:rsidRPr="00155C50">
        <w:rPr>
          <w:bCs/>
          <w:iCs/>
          <w:color w:val="000000"/>
        </w:rPr>
        <w:t xml:space="preserve">. Wraz ze złożeniem oświadczenia, Wykonawca może przedstawić dowody, że powiązania z innym wykonawcą nie prowadzą do zakłócenia konkurencji </w:t>
      </w:r>
      <w:r w:rsidRPr="00155C50">
        <w:rPr>
          <w:bCs/>
          <w:iCs/>
          <w:color w:val="000000"/>
        </w:rPr>
        <w:br/>
        <w:t>w postępowaniu o udzielenie zamówienia. W przypadku wspólnego ubiegania się o zamówienie przez wykonawców oświadczenie o przynależności lub braku przynależności do tej samej grupy kapitałowej składa każdy z wykonawców.</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Na podstawie art. 24aa ustawy </w:t>
      </w:r>
      <w:proofErr w:type="spellStart"/>
      <w:r w:rsidRPr="00155C50">
        <w:rPr>
          <w:bCs/>
          <w:iCs/>
          <w:color w:val="000000"/>
        </w:rPr>
        <w:t>Pzp</w:t>
      </w:r>
      <w:proofErr w:type="spellEnd"/>
      <w:r w:rsidRPr="00155C50">
        <w:rPr>
          <w:bCs/>
          <w:iCs/>
          <w:color w:val="000000"/>
        </w:rPr>
        <w:t xml:space="preserve"> Zamawiający najpierw dokona oceny ofert, </w:t>
      </w:r>
      <w:r w:rsidRPr="00155C50">
        <w:rPr>
          <w:bCs/>
          <w:iCs/>
          <w:color w:val="000000"/>
        </w:rPr>
        <w:br/>
        <w:t xml:space="preserve">a następnie zbada, czy Wykonawca, którego oferta została oceniona jako najkorzystniejsza, nie podlega wykluczeniu oraz spełnia warunki udziału w postępowaniu. </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Jeżeli wykonawca nie złoży oświadczeń, o których mowa w art. 25 ust. 1 ustawy, oświadczeń lub dokumentów potwierdzających okoliczności, o których mowa </w:t>
      </w:r>
      <w:r w:rsidRPr="00155C50">
        <w:rPr>
          <w:bCs/>
          <w:iCs/>
          <w:color w:val="000000"/>
        </w:rPr>
        <w:br/>
        <w:t xml:space="preserve">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CC4EFB" w:rsidRPr="00155C50" w:rsidRDefault="00CC4EFB" w:rsidP="00CC4EFB">
      <w:pPr>
        <w:numPr>
          <w:ilvl w:val="0"/>
          <w:numId w:val="3"/>
        </w:numPr>
        <w:spacing w:before="240" w:after="120"/>
        <w:jc w:val="both"/>
        <w:outlineLvl w:val="0"/>
        <w:rPr>
          <w:b/>
          <w:bCs/>
          <w:caps/>
          <w:kern w:val="32"/>
        </w:rPr>
      </w:pPr>
      <w:r w:rsidRPr="00155C50">
        <w:rPr>
          <w:b/>
          <w:bCs/>
          <w:caps/>
          <w:kern w:val="32"/>
        </w:rPr>
        <w:t>POSTANOWIENIA DOTYCZĄCE SKŁADANYCH DOKUMENTÓW</w:t>
      </w:r>
    </w:p>
    <w:p w:rsidR="00CC4EFB" w:rsidRPr="00155C50" w:rsidRDefault="00CC4EFB" w:rsidP="00CC4EFB">
      <w:pPr>
        <w:numPr>
          <w:ilvl w:val="1"/>
          <w:numId w:val="1"/>
        </w:numPr>
        <w:spacing w:before="60"/>
        <w:jc w:val="both"/>
        <w:outlineLvl w:val="1"/>
        <w:rPr>
          <w:bCs/>
          <w:iCs/>
          <w:color w:val="000000"/>
        </w:rPr>
      </w:pPr>
      <w:r w:rsidRPr="00155C50">
        <w:rPr>
          <w:bCs/>
          <w:iCs/>
          <w:color w:val="000000"/>
        </w:rPr>
        <w:t xml:space="preserve">Dokumenty lub oświadczenia, o których mowa w rozporządzeniu Ministra Rozwoju </w:t>
      </w:r>
      <w:r w:rsidRPr="00155C50">
        <w:rPr>
          <w:bCs/>
          <w:iCs/>
          <w:color w:val="000000"/>
        </w:rPr>
        <w:br/>
        <w:t>z dnia 26 lipca 2016 r. w sprawie rodzajów dokumentów, jakich może żądać zamawiający od wykonawcy w postępowaniu o udzielenie zamówienia (Dz. U. poz. 1126), składane są w oryginale lub kopii poświadczonej za zgodność z oryginałem.</w:t>
      </w:r>
    </w:p>
    <w:p w:rsidR="00CC4EFB" w:rsidRPr="00155C50" w:rsidRDefault="00CC4EFB" w:rsidP="00CC4EFB">
      <w:pPr>
        <w:numPr>
          <w:ilvl w:val="1"/>
          <w:numId w:val="1"/>
        </w:numPr>
        <w:spacing w:before="60"/>
        <w:jc w:val="both"/>
        <w:outlineLvl w:val="1"/>
        <w:rPr>
          <w:bCs/>
          <w:iCs/>
          <w:color w:val="000000"/>
        </w:rPr>
      </w:pPr>
      <w:r w:rsidRPr="00155C50">
        <w:rPr>
          <w:bCs/>
          <w:iCs/>
          <w:color w:val="000000"/>
        </w:rPr>
        <w:t>Poświadczenie z zgodność z oryginałem następuje przez opatrzenie kopii dokumentu lub kopii oświadczenia, sporządzonych w postaci papierowej, własnoręcznym podpisem.</w:t>
      </w:r>
    </w:p>
    <w:p w:rsidR="00CC4EFB" w:rsidRPr="00155C50" w:rsidRDefault="00CC4EFB" w:rsidP="00CC4EFB">
      <w:pPr>
        <w:numPr>
          <w:ilvl w:val="1"/>
          <w:numId w:val="1"/>
        </w:numPr>
        <w:spacing w:before="60"/>
        <w:jc w:val="both"/>
        <w:outlineLvl w:val="1"/>
        <w:rPr>
          <w:bCs/>
          <w:iCs/>
          <w:color w:val="000000"/>
        </w:rPr>
      </w:pPr>
      <w:r w:rsidRPr="00155C50">
        <w:rPr>
          <w:bCs/>
          <w:iCs/>
          <w:color w:val="00000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C4EFB" w:rsidRPr="00155C50" w:rsidRDefault="00CC4EFB" w:rsidP="00CC4EFB">
      <w:pPr>
        <w:numPr>
          <w:ilvl w:val="1"/>
          <w:numId w:val="1"/>
        </w:numPr>
        <w:spacing w:before="60"/>
        <w:jc w:val="both"/>
        <w:outlineLvl w:val="1"/>
        <w:rPr>
          <w:bCs/>
          <w:iCs/>
          <w:color w:val="000000"/>
        </w:rPr>
      </w:pPr>
      <w:r w:rsidRPr="00155C50">
        <w:rPr>
          <w:bCs/>
          <w:iCs/>
          <w:color w:val="000000"/>
        </w:rPr>
        <w:t xml:space="preserve">Oferta musi być podpisana przez wykonawcę, tj. osobę (osoby) reprezentującą wykonawcę, zgodnie z zasadami reprezentacji wskazanymi we właściwym rejestrze lub osobę (osoby) upoważnioną do reprezentowania wykonawcy. Jeżeli osoba (osoby) podpisująca ofertę (reprezentująca wykonawcę lub wykonawców występujących </w:t>
      </w:r>
      <w:r w:rsidRPr="00155C50">
        <w:rPr>
          <w:bCs/>
          <w:iCs/>
          <w:color w:val="000000"/>
        </w:rPr>
        <w:lastRenderedPageBreak/>
        <w:t>wspólnie) działa na podstawie pełnomocnictwa, pełnomocnictwo to w formie oryginału lub kopii poświadczonej za zgodność z oryginałem przez notariusza musi zostać dołączone do oferty.</w:t>
      </w:r>
    </w:p>
    <w:p w:rsidR="00CC4EFB" w:rsidRPr="00155C50" w:rsidRDefault="00CC4EFB" w:rsidP="00CC4EFB">
      <w:pPr>
        <w:numPr>
          <w:ilvl w:val="1"/>
          <w:numId w:val="1"/>
        </w:numPr>
        <w:spacing w:before="60"/>
        <w:jc w:val="both"/>
        <w:outlineLvl w:val="1"/>
        <w:rPr>
          <w:bCs/>
          <w:iCs/>
          <w:color w:val="000000"/>
        </w:rPr>
      </w:pPr>
      <w:r w:rsidRPr="00155C50">
        <w:rPr>
          <w:bCs/>
          <w:iCs/>
          <w:color w:val="000000"/>
        </w:rPr>
        <w:t>Dokumenty lub oświadczenia sporządzone w języku obcym muszą być złożone wraz z tłumaczeniami na język polski.</w:t>
      </w:r>
    </w:p>
    <w:p w:rsidR="00CC4EFB" w:rsidRPr="004C6497" w:rsidRDefault="00CC4EFB" w:rsidP="00CC4EFB">
      <w:pPr>
        <w:numPr>
          <w:ilvl w:val="1"/>
          <w:numId w:val="1"/>
        </w:numPr>
        <w:spacing w:before="60"/>
        <w:jc w:val="both"/>
        <w:outlineLvl w:val="1"/>
        <w:rPr>
          <w:bCs/>
          <w:iCs/>
          <w:color w:val="000000"/>
        </w:rPr>
      </w:pPr>
      <w:r w:rsidRPr="00155C50">
        <w:rPr>
          <w:bCs/>
          <w:iCs/>
          <w:color w:val="000000"/>
        </w:rPr>
        <w:t xml:space="preserve">Podpisy wykonawcy na oświadczeniach i dokumentach muszą być złożone w sposób pozwalający zidentyfikować osobę podpisującą. Zaleca się opatrzenie podpisu pieczątką z imieniem i nazwiskiem osoby podpisującej.  </w:t>
      </w:r>
    </w:p>
    <w:p w:rsidR="00CC4EFB" w:rsidRPr="00155C50" w:rsidRDefault="00CC4EFB" w:rsidP="00CC4EFB">
      <w:pPr>
        <w:numPr>
          <w:ilvl w:val="0"/>
          <w:numId w:val="3"/>
        </w:numPr>
        <w:spacing w:before="240" w:after="120"/>
        <w:jc w:val="both"/>
        <w:outlineLvl w:val="0"/>
        <w:rPr>
          <w:b/>
          <w:bCs/>
          <w:caps/>
          <w:kern w:val="32"/>
        </w:rPr>
      </w:pPr>
      <w:r w:rsidRPr="00155C50">
        <w:rPr>
          <w:b/>
          <w:bCs/>
          <w:caps/>
          <w:kern w:val="32"/>
        </w:rPr>
        <w:t xml:space="preserve">informacja o sposobie porozumiewania się zamawiającego z wykonawcami </w:t>
      </w:r>
    </w:p>
    <w:p w:rsidR="00CC4EFB" w:rsidRPr="00155C50" w:rsidRDefault="00CC4EFB" w:rsidP="00CC4EFB">
      <w:pPr>
        <w:numPr>
          <w:ilvl w:val="1"/>
          <w:numId w:val="1"/>
        </w:numPr>
        <w:spacing w:before="60"/>
        <w:jc w:val="both"/>
        <w:outlineLvl w:val="1"/>
        <w:rPr>
          <w:bCs/>
          <w:iCs/>
          <w:color w:val="000000"/>
        </w:rPr>
      </w:pPr>
      <w:r w:rsidRPr="00155C50">
        <w:rPr>
          <w:bCs/>
          <w:iCs/>
          <w:color w:val="000000"/>
        </w:rPr>
        <w:t xml:space="preserve">Oferta oraz oświadczenia, o których mowa w art. 25a ustawy </w:t>
      </w:r>
      <w:proofErr w:type="spellStart"/>
      <w:r w:rsidRPr="00155C50">
        <w:rPr>
          <w:bCs/>
          <w:iCs/>
          <w:color w:val="000000"/>
        </w:rPr>
        <w:t>Pzp</w:t>
      </w:r>
      <w:proofErr w:type="spellEnd"/>
      <w:r w:rsidRPr="00155C50">
        <w:rPr>
          <w:bCs/>
          <w:iCs/>
          <w:color w:val="000000"/>
        </w:rPr>
        <w:t xml:space="preserve"> pod rygorem nieważności muszą być sporządzone w formie pisemnej. Zamawiający nie wyraża zgody, aby oferta w niniejszym postępowaniu o udzielenie zamówienia publicznego została złożona w postaci elektronicznej, podpisanej bezpiecznym podpisem elektronicznym.</w:t>
      </w:r>
    </w:p>
    <w:p w:rsidR="00CC4EFB" w:rsidRPr="00155C50" w:rsidRDefault="00CC4EFB" w:rsidP="00CC4EFB">
      <w:pPr>
        <w:numPr>
          <w:ilvl w:val="1"/>
          <w:numId w:val="1"/>
        </w:numPr>
        <w:spacing w:before="60"/>
        <w:jc w:val="both"/>
        <w:outlineLvl w:val="1"/>
        <w:rPr>
          <w:bCs/>
          <w:iCs/>
          <w:color w:val="000000"/>
        </w:rPr>
      </w:pPr>
      <w:r w:rsidRPr="00155C50">
        <w:rPr>
          <w:bCs/>
          <w:iCs/>
          <w:color w:val="000000"/>
        </w:rPr>
        <w:t>Przekazywanie między zamawiającym a wykonawcami zawiadomień, wniosków, wyjaśnień lub innych informacji odbywa się za pośrednictwem operatora pocztowego, osobiście, za pośrednictwem posłańca, faksu lub przy użyciu poczty elektronicznej. Każda ze Stron, na żądanie drugiej, niezwłocznie potwierdzi fakt ich otrzymania.</w:t>
      </w:r>
    </w:p>
    <w:p w:rsidR="00CC4EFB" w:rsidRPr="00155C50" w:rsidRDefault="00CC4EFB" w:rsidP="00CC4EFB">
      <w:pPr>
        <w:numPr>
          <w:ilvl w:val="1"/>
          <w:numId w:val="1"/>
        </w:numPr>
        <w:spacing w:before="60"/>
        <w:jc w:val="both"/>
        <w:outlineLvl w:val="1"/>
        <w:rPr>
          <w:bCs/>
          <w:iCs/>
          <w:color w:val="000000"/>
        </w:rPr>
      </w:pPr>
      <w:r w:rsidRPr="00155C50">
        <w:rPr>
          <w:bCs/>
          <w:iCs/>
          <w:color w:val="000000"/>
        </w:rPr>
        <w:t>Oświadczenia, wnioski, zawiadomienia oraz informacje przekazane za pomocą faksu lub drogą elektroniczną uważa się za złożone w terminie, jeżeli ich treść dotarła do Zamawiającego przed upływem terminu określonego w SIWZ, zawiadomieniu lub wezwaniu.</w:t>
      </w:r>
    </w:p>
    <w:p w:rsidR="00CC4EFB" w:rsidRPr="00155C50" w:rsidRDefault="00CC4EFB" w:rsidP="00CC4EFB">
      <w:pPr>
        <w:numPr>
          <w:ilvl w:val="1"/>
          <w:numId w:val="1"/>
        </w:numPr>
        <w:spacing w:before="60"/>
        <w:jc w:val="both"/>
        <w:outlineLvl w:val="1"/>
        <w:rPr>
          <w:bCs/>
          <w:iCs/>
          <w:color w:val="000000"/>
        </w:rPr>
      </w:pPr>
      <w:r w:rsidRPr="00155C50">
        <w:rPr>
          <w:bCs/>
          <w:iCs/>
          <w:color w:val="000000"/>
        </w:rPr>
        <w:t xml:space="preserve">Osoba uprawniona do porozumiewania się z wykonawcami: mgr </w:t>
      </w:r>
      <w:r w:rsidR="00253E99">
        <w:rPr>
          <w:bCs/>
          <w:iCs/>
          <w:color w:val="000000"/>
        </w:rPr>
        <w:t>Joanna Kraińska.</w:t>
      </w:r>
    </w:p>
    <w:p w:rsidR="00CC4EFB" w:rsidRPr="00155C50" w:rsidRDefault="00CC4EFB" w:rsidP="00CC4EFB">
      <w:pPr>
        <w:numPr>
          <w:ilvl w:val="1"/>
          <w:numId w:val="1"/>
        </w:numPr>
        <w:spacing w:before="60"/>
        <w:jc w:val="both"/>
        <w:outlineLvl w:val="1"/>
        <w:rPr>
          <w:bCs/>
          <w:iCs/>
          <w:color w:val="000000"/>
        </w:rPr>
      </w:pPr>
      <w:r w:rsidRPr="00155C50">
        <w:rPr>
          <w:bCs/>
          <w:iCs/>
          <w:color w:val="000000"/>
        </w:rPr>
        <w:t xml:space="preserve">Pytania dotyczące treści SIWZ można kierować pisemnie do siedziby Zamawiającego, pok. 117, paw. C-2, na nr fax. 12 617-33-63 lub drogą elektroniczną na adres </w:t>
      </w:r>
      <w:hyperlink r:id="rId8" w:history="1">
        <w:r w:rsidRPr="00155C50">
          <w:rPr>
            <w:bCs/>
            <w:iCs/>
            <w:color w:val="0000FF"/>
            <w:u w:val="single"/>
          </w:rPr>
          <w:t>dzp@agh.edu.pl</w:t>
        </w:r>
      </w:hyperlink>
      <w:r w:rsidRPr="00155C50">
        <w:rPr>
          <w:bCs/>
          <w:iCs/>
          <w:color w:val="000000"/>
        </w:rPr>
        <w:t xml:space="preserve"> z określeniem sygnatury postępowania, którego dotyczą. </w:t>
      </w:r>
    </w:p>
    <w:p w:rsidR="00CC4EFB" w:rsidRPr="00155C50" w:rsidRDefault="00CC4EFB" w:rsidP="00CC4EFB">
      <w:pPr>
        <w:numPr>
          <w:ilvl w:val="0"/>
          <w:numId w:val="3"/>
        </w:numPr>
        <w:spacing w:before="240" w:after="120"/>
        <w:jc w:val="both"/>
        <w:outlineLvl w:val="0"/>
        <w:rPr>
          <w:b/>
          <w:bCs/>
          <w:caps/>
          <w:kern w:val="32"/>
        </w:rPr>
      </w:pPr>
      <w:r w:rsidRPr="00155C50">
        <w:rPr>
          <w:b/>
          <w:bCs/>
          <w:caps/>
          <w:kern w:val="32"/>
        </w:rPr>
        <w:t>WADIUM</w:t>
      </w:r>
    </w:p>
    <w:p w:rsidR="00CC4EFB" w:rsidRPr="00155C50" w:rsidRDefault="00CC4EFB" w:rsidP="00CC4EFB">
      <w:pPr>
        <w:spacing w:before="60"/>
        <w:ind w:left="680"/>
        <w:jc w:val="both"/>
        <w:outlineLvl w:val="1"/>
        <w:rPr>
          <w:bCs/>
          <w:iCs/>
        </w:rPr>
      </w:pPr>
      <w:r w:rsidRPr="00155C50">
        <w:rPr>
          <w:bCs/>
          <w:iCs/>
          <w:color w:val="000000"/>
        </w:rPr>
        <w:t>Zamawiający nie wymaga wniesienia wadium.</w:t>
      </w:r>
    </w:p>
    <w:p w:rsidR="00CC4EFB" w:rsidRPr="00155C50" w:rsidRDefault="00CC4EFB" w:rsidP="00CC4EFB">
      <w:pPr>
        <w:numPr>
          <w:ilvl w:val="0"/>
          <w:numId w:val="3"/>
        </w:numPr>
        <w:spacing w:before="240" w:after="120"/>
        <w:jc w:val="both"/>
        <w:outlineLvl w:val="0"/>
        <w:rPr>
          <w:b/>
          <w:bCs/>
          <w:caps/>
          <w:kern w:val="32"/>
        </w:rPr>
      </w:pPr>
      <w:bookmarkStart w:id="0" w:name="mip26163800"/>
      <w:bookmarkEnd w:id="0"/>
      <w:r w:rsidRPr="00155C50">
        <w:rPr>
          <w:b/>
          <w:bCs/>
          <w:caps/>
          <w:kern w:val="32"/>
        </w:rPr>
        <w:t>TERMIN ZWIĄZANIA OFERTĄ</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Wykonawca pozostaje związany ofertą przez okres 30 dni. </w:t>
      </w:r>
    </w:p>
    <w:p w:rsidR="00CC4EFB" w:rsidRPr="00155C50" w:rsidRDefault="00CC4EFB" w:rsidP="00CC4EFB">
      <w:pPr>
        <w:numPr>
          <w:ilvl w:val="1"/>
          <w:numId w:val="3"/>
        </w:numPr>
        <w:spacing w:before="60"/>
        <w:jc w:val="both"/>
        <w:outlineLvl w:val="1"/>
        <w:rPr>
          <w:bCs/>
          <w:iCs/>
          <w:color w:val="000000"/>
        </w:rPr>
      </w:pPr>
      <w:r w:rsidRPr="00155C50">
        <w:rPr>
          <w:bCs/>
          <w:iCs/>
          <w:color w:val="000000"/>
        </w:rPr>
        <w:t>Bieg terminu związania ofertą rozpoczyna się wraz z upływem terminu składania ofert.</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C4EFB" w:rsidRPr="00155C50" w:rsidRDefault="00CC4EFB" w:rsidP="00CC4EFB">
      <w:pPr>
        <w:numPr>
          <w:ilvl w:val="0"/>
          <w:numId w:val="3"/>
        </w:numPr>
        <w:tabs>
          <w:tab w:val="left" w:pos="993"/>
        </w:tabs>
        <w:spacing w:before="360" w:after="120"/>
        <w:jc w:val="both"/>
        <w:outlineLvl w:val="0"/>
        <w:rPr>
          <w:b/>
          <w:bCs/>
          <w:caps/>
          <w:kern w:val="32"/>
        </w:rPr>
      </w:pPr>
      <w:r w:rsidRPr="00155C50">
        <w:rPr>
          <w:b/>
          <w:bCs/>
          <w:caps/>
          <w:kern w:val="32"/>
        </w:rPr>
        <w:t>Opis sposobu przygotowania oferty:</w:t>
      </w:r>
    </w:p>
    <w:p w:rsidR="00CC4EFB" w:rsidRPr="00155C50" w:rsidRDefault="00CC4EFB" w:rsidP="00CC4EFB">
      <w:pPr>
        <w:numPr>
          <w:ilvl w:val="1"/>
          <w:numId w:val="3"/>
        </w:numPr>
        <w:spacing w:before="60"/>
        <w:jc w:val="both"/>
        <w:outlineLvl w:val="1"/>
        <w:rPr>
          <w:bCs/>
          <w:iCs/>
          <w:color w:val="000000"/>
        </w:rPr>
      </w:pPr>
      <w:r w:rsidRPr="00155C50">
        <w:rPr>
          <w:bCs/>
          <w:iCs/>
          <w:color w:val="000000"/>
        </w:rPr>
        <w:t>Wykonawca może złożyć tylko jedną ofertę. Złożenie więcej niż jednej oferty spowoduje odrzucenie wszystkich ofert złożonych przez wykonawcę.</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Oferta </w:t>
      </w:r>
      <w:r w:rsidRPr="00155C50">
        <w:rPr>
          <w:bCs/>
          <w:iCs/>
          <w:color w:val="000000"/>
          <w:lang w:eastAsia="zh-CN"/>
        </w:rPr>
        <w:t>wraz ze stanowiącymi jej integralną część załącznikami powinna być sporządzona przez wykonawcę według treści postanowień niniejszej SIWZ. W celu przeprowadzenia oceny ofert w niniejszym postępowaniu oferta powinna zawierać</w:t>
      </w:r>
      <w:r w:rsidRPr="00155C50">
        <w:rPr>
          <w:bCs/>
          <w:iCs/>
          <w:color w:val="000000"/>
        </w:rPr>
        <w:t xml:space="preserve">: </w:t>
      </w:r>
    </w:p>
    <w:p w:rsidR="00CC4EFB" w:rsidRPr="00155C50" w:rsidRDefault="00CC4EFB" w:rsidP="00CC4EFB">
      <w:pPr>
        <w:numPr>
          <w:ilvl w:val="0"/>
          <w:numId w:val="6"/>
        </w:numPr>
        <w:spacing w:before="60" w:after="120"/>
        <w:ind w:left="1134"/>
        <w:jc w:val="both"/>
        <w:rPr>
          <w:bCs/>
          <w:iCs/>
          <w:color w:val="00000A"/>
          <w:lang w:eastAsia="zh-CN"/>
        </w:rPr>
      </w:pPr>
      <w:r w:rsidRPr="00155C50">
        <w:rPr>
          <w:b/>
          <w:bCs/>
          <w:iCs/>
          <w:color w:val="00000A"/>
          <w:lang w:eastAsia="zh-CN"/>
        </w:rPr>
        <w:lastRenderedPageBreak/>
        <w:t>formularz oferty</w:t>
      </w:r>
      <w:r w:rsidRPr="00155C50">
        <w:rPr>
          <w:b/>
          <w:bCs/>
          <w:iCs/>
          <w:color w:val="000000"/>
          <w:lang w:eastAsia="zh-CN"/>
        </w:rPr>
        <w:t xml:space="preserve"> -</w:t>
      </w:r>
      <w:r>
        <w:rPr>
          <w:b/>
          <w:bCs/>
          <w:iCs/>
          <w:color w:val="000000"/>
          <w:lang w:eastAsia="zh-CN"/>
        </w:rPr>
        <w:t xml:space="preserve"> </w:t>
      </w:r>
      <w:r w:rsidRPr="00155C50">
        <w:rPr>
          <w:bCs/>
          <w:iCs/>
          <w:color w:val="000000"/>
          <w:lang w:eastAsia="zh-CN"/>
        </w:rPr>
        <w:t>wypełniony i podpisany</w:t>
      </w:r>
      <w:r w:rsidRPr="00155C50">
        <w:rPr>
          <w:b/>
          <w:bCs/>
          <w:iCs/>
          <w:color w:val="00000A"/>
          <w:lang w:eastAsia="zh-CN"/>
        </w:rPr>
        <w:t>,</w:t>
      </w:r>
      <w:r w:rsidRPr="00155C50">
        <w:rPr>
          <w:bCs/>
          <w:iCs/>
          <w:color w:val="00000A"/>
          <w:lang w:eastAsia="zh-CN"/>
        </w:rPr>
        <w:t xml:space="preserve"> wypełniony i uzupełniony zgodnie ze wzorem stanowiącym Załącznik Nr 1 do SIWZ (lub zgodnie z jego treścią).</w:t>
      </w:r>
    </w:p>
    <w:p w:rsidR="00CC4EFB" w:rsidRPr="00155C50" w:rsidRDefault="00CC4EFB" w:rsidP="00CC4EFB">
      <w:pPr>
        <w:numPr>
          <w:ilvl w:val="0"/>
          <w:numId w:val="6"/>
        </w:numPr>
        <w:spacing w:before="60" w:after="120"/>
        <w:ind w:left="1134"/>
        <w:jc w:val="both"/>
        <w:rPr>
          <w:bCs/>
          <w:iCs/>
          <w:color w:val="00000A"/>
          <w:lang w:eastAsia="zh-CN"/>
        </w:rPr>
      </w:pPr>
      <w:r w:rsidRPr="00155C50">
        <w:rPr>
          <w:b/>
          <w:bCs/>
          <w:iCs/>
          <w:color w:val="000000"/>
          <w:lang w:eastAsia="zh-CN"/>
        </w:rPr>
        <w:t>oświadczenie, o którym mowa w pkt 7.1. SIWZ według wzoru stanowiącego odpowiednio Załącznik nr 2 do SIWZ,</w:t>
      </w:r>
    </w:p>
    <w:p w:rsidR="00CC4EFB" w:rsidRPr="00155C50" w:rsidRDefault="00CC4EFB" w:rsidP="00CC4EFB">
      <w:pPr>
        <w:numPr>
          <w:ilvl w:val="0"/>
          <w:numId w:val="6"/>
        </w:numPr>
        <w:spacing w:before="60" w:after="120"/>
        <w:ind w:left="1134"/>
        <w:jc w:val="both"/>
        <w:rPr>
          <w:bCs/>
          <w:iCs/>
          <w:color w:val="00000A"/>
          <w:lang w:eastAsia="zh-CN"/>
        </w:rPr>
      </w:pPr>
      <w:r w:rsidRPr="00155C50">
        <w:rPr>
          <w:b/>
          <w:bCs/>
          <w:iCs/>
          <w:color w:val="000000"/>
          <w:lang w:eastAsia="zh-CN"/>
        </w:rPr>
        <w:t>pełnomocnictwo do reprezentowania wykonawcy (wykonawców występujących wspólnie), o ile ofertę składa pełnomocnik,</w:t>
      </w:r>
    </w:p>
    <w:p w:rsidR="00CC4EFB" w:rsidRPr="00155C50" w:rsidRDefault="00CC4EFB" w:rsidP="00CC4EFB">
      <w:pPr>
        <w:numPr>
          <w:ilvl w:val="0"/>
          <w:numId w:val="6"/>
        </w:numPr>
        <w:spacing w:before="60" w:after="120"/>
        <w:ind w:left="1134"/>
        <w:jc w:val="both"/>
        <w:rPr>
          <w:bCs/>
          <w:iCs/>
          <w:color w:val="00000A"/>
          <w:lang w:eastAsia="zh-CN"/>
        </w:rPr>
      </w:pPr>
      <w:r w:rsidRPr="00155C50">
        <w:rPr>
          <w:b/>
          <w:bCs/>
          <w:iCs/>
          <w:lang w:eastAsia="zh-CN"/>
        </w:rPr>
        <w:t>opisy techniczne oferowanego sprzętu</w:t>
      </w:r>
      <w:r w:rsidRPr="00155C50">
        <w:rPr>
          <w:bCs/>
          <w:iCs/>
          <w:color w:val="00000A"/>
          <w:lang w:eastAsia="zh-CN"/>
        </w:rPr>
        <w:t xml:space="preserve"> </w:t>
      </w:r>
      <w:r w:rsidRPr="00155C50">
        <w:rPr>
          <w:bCs/>
          <w:iCs/>
          <w:lang w:eastAsia="zh-CN"/>
        </w:rPr>
        <w:t>wraz ze wskazaniem wszystkich parametrów technicznych, spełniających wymagania Zamawiającego określone w niniejszej SIWZ.</w:t>
      </w:r>
    </w:p>
    <w:p w:rsidR="00CC4EFB" w:rsidRPr="00155C50" w:rsidRDefault="00CC4EFB" w:rsidP="00CC4EFB">
      <w:pPr>
        <w:numPr>
          <w:ilvl w:val="1"/>
          <w:numId w:val="3"/>
        </w:numPr>
        <w:spacing w:before="60"/>
        <w:jc w:val="both"/>
        <w:outlineLvl w:val="1"/>
        <w:rPr>
          <w:bCs/>
          <w:iCs/>
          <w:color w:val="000000"/>
        </w:rPr>
      </w:pPr>
      <w:r w:rsidRPr="00155C50">
        <w:rPr>
          <w:bCs/>
          <w:iCs/>
          <w:color w:val="000000"/>
        </w:rPr>
        <w:t>Wykonawcy mogą wspólnie ubiegać się o udzielenie zamówienia na zasadach określonych w art. 23 ustawy Prawo Zamówień Publicznych. W takim przypadku na formularzu ofertowym, jak również innych dokumentach powołujących się na „Wykonawcę”, w miejscu „</w:t>
      </w:r>
      <w:r w:rsidRPr="00155C50">
        <w:rPr>
          <w:bCs/>
          <w:i/>
          <w:iCs/>
          <w:color w:val="000000"/>
        </w:rPr>
        <w:t>nazwa i adres Wykonawcy</w:t>
      </w:r>
      <w:r w:rsidRPr="00155C50">
        <w:rPr>
          <w:bCs/>
          <w:iCs/>
          <w:color w:val="000000"/>
        </w:rPr>
        <w:t xml:space="preserve">” należy wpisać dane dotyczące konsorcjum lub spółki cywilnej, a nie pełnomocnika. </w:t>
      </w:r>
    </w:p>
    <w:p w:rsidR="00CC4EFB" w:rsidRPr="00155C50" w:rsidRDefault="00CC4EFB" w:rsidP="00CC4EFB">
      <w:pPr>
        <w:numPr>
          <w:ilvl w:val="1"/>
          <w:numId w:val="3"/>
        </w:numPr>
        <w:spacing w:before="60"/>
        <w:jc w:val="both"/>
        <w:outlineLvl w:val="1"/>
        <w:rPr>
          <w:bCs/>
          <w:iCs/>
          <w:color w:val="000000"/>
        </w:rPr>
      </w:pPr>
      <w:r w:rsidRPr="00155C50">
        <w:rPr>
          <w:bCs/>
          <w:iCs/>
          <w:color w:val="000000"/>
        </w:rPr>
        <w:t>Wszelkie koszty związane ze sporządzeniem oraz złożeniem oferty ponosi Wykonawca.</w:t>
      </w:r>
    </w:p>
    <w:p w:rsidR="00CC4EFB" w:rsidRPr="00155C50" w:rsidRDefault="00CC4EFB" w:rsidP="00CC4EFB">
      <w:pPr>
        <w:numPr>
          <w:ilvl w:val="1"/>
          <w:numId w:val="3"/>
        </w:numPr>
        <w:spacing w:before="60"/>
        <w:jc w:val="both"/>
        <w:outlineLvl w:val="1"/>
        <w:rPr>
          <w:bCs/>
          <w:iCs/>
          <w:color w:val="000000"/>
        </w:rPr>
      </w:pPr>
      <w:r w:rsidRPr="00155C50">
        <w:rPr>
          <w:bCs/>
          <w:iCs/>
          <w:color w:val="000000"/>
        </w:rPr>
        <w:t>Zaleca się ponumerowanie stron i spięcie oferty w sposób uniemożliwiający wysunięcie się którejkolwiek kartki.</w:t>
      </w:r>
    </w:p>
    <w:p w:rsidR="00CC4EFB" w:rsidRPr="00155C50" w:rsidRDefault="00CC4EFB" w:rsidP="00CC4EFB">
      <w:pPr>
        <w:numPr>
          <w:ilvl w:val="1"/>
          <w:numId w:val="3"/>
        </w:numPr>
        <w:spacing w:before="60"/>
        <w:jc w:val="both"/>
        <w:outlineLvl w:val="1"/>
        <w:rPr>
          <w:bCs/>
          <w:iCs/>
          <w:color w:val="000000"/>
        </w:rPr>
      </w:pPr>
      <w:r w:rsidRPr="00155C50">
        <w:rPr>
          <w:bCs/>
          <w:iCs/>
          <w:color w:val="000000"/>
        </w:rPr>
        <w:t>Oferta musi być napisana w języku polskim, na komputerze, maszynie do pisania lub ręcznie długopisem bądź niezmywalnym atramentem.</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Oferta wraz z załącznikami musi być podpisana przez osobę (osoby) uprawnione do składania oświadczeń woli w imieniu Wykonawcy. </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Wszelkie zmiany naniesione przez wykonawcę w treści oferty po jej sporządzeniu muszą </w:t>
      </w:r>
      <w:r w:rsidRPr="00155C50">
        <w:rPr>
          <w:bCs/>
          <w:iCs/>
          <w:color w:val="000000"/>
        </w:rPr>
        <w:br/>
        <w:t>być parafowane lub podpisane przez wykonawcę.</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Upoważnienie-pełnomocnictwo do podpisania oferty winno być dołączone do oferty, </w:t>
      </w:r>
      <w:r w:rsidRPr="00155C50">
        <w:rPr>
          <w:bCs/>
          <w:iCs/>
          <w:color w:val="000000"/>
        </w:rPr>
        <w:br/>
        <w:t xml:space="preserve">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 </w:t>
      </w:r>
    </w:p>
    <w:p w:rsidR="00CC4EFB" w:rsidRPr="00155C50" w:rsidRDefault="00CC4EFB" w:rsidP="00CC4EFB">
      <w:pPr>
        <w:numPr>
          <w:ilvl w:val="1"/>
          <w:numId w:val="3"/>
        </w:numPr>
        <w:spacing w:before="60"/>
        <w:jc w:val="both"/>
        <w:outlineLvl w:val="1"/>
        <w:rPr>
          <w:bCs/>
          <w:iCs/>
          <w:color w:val="000000"/>
        </w:rPr>
      </w:pPr>
      <w:r w:rsidRPr="00155C50">
        <w:rPr>
          <w:bCs/>
          <w:iCs/>
          <w:color w:val="000000"/>
        </w:rPr>
        <w:t>Oferta wraz z załącznikami musi być sporządzona w języku polskim. Każdy dokument składający się na ofertę lub złożony wraz z ofertą sporządzony w języku innym niż polski musi być złożony wraz z tłumaczeniem na język polski.</w:t>
      </w:r>
    </w:p>
    <w:p w:rsidR="00CC4EFB" w:rsidRPr="00155C50" w:rsidRDefault="00CC4EFB" w:rsidP="00CC4EFB">
      <w:pPr>
        <w:numPr>
          <w:ilvl w:val="1"/>
          <w:numId w:val="3"/>
        </w:numPr>
        <w:spacing w:before="60"/>
        <w:jc w:val="both"/>
        <w:outlineLvl w:val="1"/>
        <w:rPr>
          <w:bCs/>
          <w:iCs/>
          <w:color w:val="000000"/>
        </w:rPr>
      </w:pPr>
      <w:r w:rsidRPr="00155C50">
        <w:rPr>
          <w:bCs/>
          <w:iCs/>
          <w:color w:val="00000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CC4EFB" w:rsidRPr="00155C50" w:rsidRDefault="00CC4EFB" w:rsidP="00CC4EFB">
      <w:pPr>
        <w:numPr>
          <w:ilvl w:val="0"/>
          <w:numId w:val="7"/>
        </w:numPr>
        <w:ind w:left="1134"/>
      </w:pPr>
      <w:r w:rsidRPr="00155C50">
        <w:t>ma charakter techniczny, technologiczny, organizacyjny przedsiębiorstwa lub jest to inna informacja mająca wartość gospodarczą,</w:t>
      </w:r>
    </w:p>
    <w:p w:rsidR="00CC4EFB" w:rsidRPr="00155C50" w:rsidRDefault="00CC4EFB" w:rsidP="00CC4EFB">
      <w:pPr>
        <w:numPr>
          <w:ilvl w:val="0"/>
          <w:numId w:val="7"/>
        </w:numPr>
        <w:spacing w:before="120" w:after="120"/>
        <w:ind w:left="1134" w:hanging="357"/>
      </w:pPr>
      <w:r w:rsidRPr="00155C50">
        <w:t>nie została ujawniona do wiadomości publicznej,</w:t>
      </w:r>
    </w:p>
    <w:p w:rsidR="00CC4EFB" w:rsidRPr="00155C50" w:rsidRDefault="00CC4EFB" w:rsidP="00CC4EFB">
      <w:pPr>
        <w:numPr>
          <w:ilvl w:val="0"/>
          <w:numId w:val="7"/>
        </w:numPr>
        <w:spacing w:before="120" w:after="120"/>
        <w:ind w:left="1134" w:hanging="357"/>
      </w:pPr>
      <w:r w:rsidRPr="00155C50">
        <w:lastRenderedPageBreak/>
        <w:t>podjęto w stosunku do niej niezbędne działania w celu zachowania poufności.</w:t>
      </w:r>
    </w:p>
    <w:p w:rsidR="00CC4EFB" w:rsidRPr="00155C50" w:rsidRDefault="00CC4EFB" w:rsidP="00CC4EFB">
      <w:pPr>
        <w:numPr>
          <w:ilvl w:val="1"/>
          <w:numId w:val="3"/>
        </w:numPr>
        <w:spacing w:before="60"/>
        <w:jc w:val="both"/>
        <w:outlineLvl w:val="1"/>
        <w:rPr>
          <w:bCs/>
          <w:iCs/>
          <w:color w:val="000000"/>
        </w:rPr>
      </w:pPr>
      <w:r w:rsidRPr="00155C50">
        <w:rPr>
          <w:bCs/>
          <w:iCs/>
          <w:color w:val="000000"/>
        </w:rPr>
        <w:t>Zaleca się, aby informacje stanowiące tajemnicę przedsiębiorstwa były trwale spięte i oddzielone od pozostałej (jawnej) części oferty. Wykonawca nie może zastrzec informacji, o których mowa w art. 86 ust. 4 ustawy.</w:t>
      </w:r>
    </w:p>
    <w:p w:rsidR="00CC4EFB" w:rsidRPr="00155C50" w:rsidRDefault="00CC4EFB" w:rsidP="00CC4EFB">
      <w:pPr>
        <w:numPr>
          <w:ilvl w:val="1"/>
          <w:numId w:val="3"/>
        </w:numPr>
        <w:spacing w:before="60"/>
        <w:jc w:val="both"/>
        <w:outlineLvl w:val="1"/>
        <w:rPr>
          <w:bCs/>
          <w:iCs/>
          <w:color w:val="000000"/>
        </w:rPr>
      </w:pPr>
      <w:r w:rsidRPr="00155C50">
        <w:rPr>
          <w:bCs/>
          <w:iCs/>
          <w:color w:val="000000"/>
        </w:rPr>
        <w:t>Pisemną ofertę wraz z wymaganymi oświadczeniami i dokumentami należy złożyć w jednym egzemplarzu, w nieprzejrzystej kopercie/opakowaniu i zabezpieczyć w sposób uniemożliwiający zapoznanie się z jej zawartością bez naruszenia zabezpieczeń przed upływem terminu otwarcia ofert.</w:t>
      </w:r>
    </w:p>
    <w:p w:rsidR="00CC4EFB" w:rsidRPr="00155C50" w:rsidRDefault="00CC4EFB" w:rsidP="00CC4EFB">
      <w:pPr>
        <w:numPr>
          <w:ilvl w:val="1"/>
          <w:numId w:val="3"/>
        </w:numPr>
        <w:spacing w:before="60"/>
        <w:jc w:val="both"/>
        <w:outlineLvl w:val="1"/>
        <w:rPr>
          <w:bCs/>
          <w:iCs/>
          <w:color w:val="000000"/>
        </w:rPr>
      </w:pPr>
      <w:r w:rsidRPr="00155C50">
        <w:rPr>
          <w:bCs/>
          <w:iCs/>
          <w:color w:val="000000"/>
        </w:rPr>
        <w:t>Na kopercie/opakowaniu należy umieścić następujące oznaczenia:</w:t>
      </w:r>
    </w:p>
    <w:p w:rsidR="00CC4EFB" w:rsidRPr="00155C50" w:rsidRDefault="00CC4EFB" w:rsidP="00CC4EFB">
      <w:pPr>
        <w:spacing w:before="60"/>
        <w:ind w:left="680"/>
        <w:jc w:val="both"/>
        <w:outlineLvl w:val="1"/>
        <w:rPr>
          <w:bCs/>
          <w:iCs/>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tblGrid>
      <w:tr w:rsidR="00CC4EFB" w:rsidRPr="00155C50" w:rsidTr="00D72B0F">
        <w:trPr>
          <w:trHeight w:val="203"/>
        </w:trPr>
        <w:tc>
          <w:tcPr>
            <w:tcW w:w="8621" w:type="dxa"/>
            <w:tcBorders>
              <w:top w:val="single" w:sz="4" w:space="0" w:color="auto"/>
              <w:left w:val="single" w:sz="4" w:space="0" w:color="auto"/>
              <w:bottom w:val="single" w:sz="4" w:space="0" w:color="auto"/>
              <w:right w:val="single" w:sz="4" w:space="0" w:color="auto"/>
            </w:tcBorders>
          </w:tcPr>
          <w:p w:rsidR="00CC4EFB" w:rsidRPr="00155C50" w:rsidRDefault="00CC4EFB" w:rsidP="00D72B0F">
            <w:pPr>
              <w:tabs>
                <w:tab w:val="center" w:pos="4536"/>
                <w:tab w:val="right" w:pos="9072"/>
              </w:tabs>
              <w:jc w:val="both"/>
            </w:pPr>
            <w:r w:rsidRPr="00155C50">
              <w:t xml:space="preserve">Oferta na: </w:t>
            </w:r>
            <w:r w:rsidR="00253E99" w:rsidRPr="00253E99">
              <w:rPr>
                <w:b/>
              </w:rPr>
              <w:t xml:space="preserve">Dostawa spektrometru fluorescencji rentgenowskiej z dyspersją falową (WD-XRF) do ilościowej analizy składu pierwiastkowego próbek stałych oraz ciekłych dla </w:t>
            </w:r>
            <w:proofErr w:type="spellStart"/>
            <w:r w:rsidR="00253E99" w:rsidRPr="00253E99">
              <w:rPr>
                <w:b/>
              </w:rPr>
              <w:t>ACMiN</w:t>
            </w:r>
            <w:proofErr w:type="spellEnd"/>
            <w:r w:rsidR="00253E99" w:rsidRPr="00253E99">
              <w:rPr>
                <w:b/>
              </w:rPr>
              <w:t xml:space="preserve"> AGH - KC-zp.272-554/19</w:t>
            </w:r>
            <w:r w:rsidRPr="00155C50">
              <w:br/>
              <w:t xml:space="preserve">NIE OTWIERAĆ przed </w:t>
            </w:r>
            <w:r w:rsidR="00F829D7">
              <w:rPr>
                <w:b/>
              </w:rPr>
              <w:t>2019-08-22</w:t>
            </w:r>
            <w:r>
              <w:rPr>
                <w:b/>
              </w:rPr>
              <w:t xml:space="preserve"> </w:t>
            </w:r>
            <w:r w:rsidRPr="00155C50">
              <w:t xml:space="preserve">godz. </w:t>
            </w:r>
            <w:r w:rsidR="00F829D7">
              <w:rPr>
                <w:b/>
              </w:rPr>
              <w:t>11</w:t>
            </w:r>
            <w:r>
              <w:rPr>
                <w:b/>
              </w:rPr>
              <w:t>:3</w:t>
            </w:r>
            <w:r w:rsidRPr="00155C50">
              <w:rPr>
                <w:b/>
              </w:rPr>
              <w:t xml:space="preserve">0, </w:t>
            </w:r>
            <w:r w:rsidRPr="00155C50">
              <w:t xml:space="preserve">znak sprawy: </w:t>
            </w:r>
            <w:r w:rsidR="00253E99">
              <w:rPr>
                <w:b/>
              </w:rPr>
              <w:t>KC-</w:t>
            </w:r>
            <w:proofErr w:type="spellStart"/>
            <w:r w:rsidR="00253E99">
              <w:rPr>
                <w:b/>
              </w:rPr>
              <w:t>zp</w:t>
            </w:r>
            <w:proofErr w:type="spellEnd"/>
            <w:r w:rsidR="00253E99">
              <w:rPr>
                <w:b/>
              </w:rPr>
              <w:t>. 272-554</w:t>
            </w:r>
            <w:r w:rsidRPr="00155C50">
              <w:rPr>
                <w:b/>
              </w:rPr>
              <w:t>/19</w:t>
            </w:r>
            <w:r w:rsidRPr="00155C50">
              <w:t>”</w:t>
            </w:r>
          </w:p>
        </w:tc>
      </w:tr>
    </w:tbl>
    <w:p w:rsidR="00CC4EFB" w:rsidRPr="00155C50" w:rsidRDefault="00CC4EFB" w:rsidP="00CC4EFB">
      <w:pPr>
        <w:spacing w:before="60"/>
        <w:ind w:left="680"/>
        <w:jc w:val="both"/>
        <w:outlineLvl w:val="1"/>
        <w:rPr>
          <w:bCs/>
          <w:iCs/>
          <w:color w:val="000000"/>
        </w:rPr>
      </w:pPr>
    </w:p>
    <w:p w:rsidR="00CC4EFB" w:rsidRPr="00155C50" w:rsidRDefault="00CC4EFB" w:rsidP="00CC4EFB">
      <w:pPr>
        <w:numPr>
          <w:ilvl w:val="1"/>
          <w:numId w:val="3"/>
        </w:numPr>
        <w:spacing w:before="60"/>
        <w:jc w:val="both"/>
        <w:outlineLvl w:val="1"/>
        <w:rPr>
          <w:bCs/>
          <w:iCs/>
          <w:color w:val="000000"/>
        </w:rPr>
      </w:pPr>
      <w:r w:rsidRPr="00155C50">
        <w:rPr>
          <w:bCs/>
          <w:iCs/>
          <w:color w:val="000000"/>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12.14 oraz dodatkowo oznaczone słowami „ZMIANA” lub „WYCOFANIE”.</w:t>
      </w:r>
    </w:p>
    <w:p w:rsidR="00CC4EFB" w:rsidRPr="00155C50" w:rsidRDefault="00CC4EFB" w:rsidP="00CC4EFB">
      <w:pPr>
        <w:numPr>
          <w:ilvl w:val="0"/>
          <w:numId w:val="3"/>
        </w:numPr>
        <w:spacing w:before="240" w:after="120"/>
        <w:jc w:val="both"/>
        <w:outlineLvl w:val="0"/>
        <w:rPr>
          <w:b/>
          <w:bCs/>
          <w:caps/>
          <w:kern w:val="32"/>
        </w:rPr>
      </w:pPr>
      <w:r w:rsidRPr="00155C50">
        <w:rPr>
          <w:b/>
          <w:bCs/>
          <w:caps/>
          <w:kern w:val="32"/>
        </w:rPr>
        <w:t>Miejsce oraz termin składania i otwarcia ofert</w:t>
      </w:r>
    </w:p>
    <w:p w:rsidR="00CC4EFB" w:rsidRPr="00155C50" w:rsidRDefault="00CC4EFB" w:rsidP="00CC4EFB">
      <w:pPr>
        <w:numPr>
          <w:ilvl w:val="1"/>
          <w:numId w:val="1"/>
        </w:numPr>
        <w:spacing w:before="60"/>
        <w:jc w:val="both"/>
        <w:outlineLvl w:val="1"/>
        <w:rPr>
          <w:bCs/>
          <w:iCs/>
          <w:color w:val="000000"/>
        </w:rPr>
      </w:pPr>
      <w:r w:rsidRPr="00155C50">
        <w:rPr>
          <w:bCs/>
          <w:iCs/>
          <w:color w:val="000000"/>
        </w:rPr>
        <w:t xml:space="preserve">Oferty należy składać w siedzibie Zamawiającego, pokój </w:t>
      </w:r>
      <w:r>
        <w:rPr>
          <w:bCs/>
          <w:iCs/>
          <w:color w:val="000000"/>
        </w:rPr>
        <w:t>nr:</w:t>
      </w:r>
      <w:r w:rsidR="00F829D7">
        <w:rPr>
          <w:bCs/>
          <w:iCs/>
          <w:color w:val="000000"/>
        </w:rPr>
        <w:t xml:space="preserve"> 117, paw. C2 do dnia 2019-08-22 do godz. 11</w:t>
      </w:r>
      <w:r>
        <w:rPr>
          <w:bCs/>
          <w:iCs/>
          <w:color w:val="000000"/>
        </w:rPr>
        <w:t>:0</w:t>
      </w:r>
      <w:r w:rsidRPr="00155C50">
        <w:rPr>
          <w:bCs/>
          <w:iCs/>
          <w:color w:val="000000"/>
        </w:rPr>
        <w:t>0.</w:t>
      </w:r>
    </w:p>
    <w:p w:rsidR="00CC4EFB" w:rsidRPr="00155C50" w:rsidRDefault="00CC4EFB" w:rsidP="00CC4EFB">
      <w:pPr>
        <w:numPr>
          <w:ilvl w:val="1"/>
          <w:numId w:val="1"/>
        </w:numPr>
        <w:spacing w:before="60"/>
        <w:jc w:val="both"/>
        <w:outlineLvl w:val="1"/>
        <w:rPr>
          <w:bCs/>
          <w:iCs/>
          <w:color w:val="000000"/>
        </w:rPr>
      </w:pPr>
      <w:r w:rsidRPr="00155C50">
        <w:rPr>
          <w:bCs/>
          <w:iCs/>
          <w:color w:val="000000"/>
        </w:rPr>
        <w:t>Zamawiający niezwłocznie zwraca ofertę, która  została złożona po terminie.</w:t>
      </w:r>
    </w:p>
    <w:p w:rsidR="00CC4EFB" w:rsidRPr="00155C50" w:rsidRDefault="00CC4EFB" w:rsidP="00CC4EFB">
      <w:pPr>
        <w:numPr>
          <w:ilvl w:val="1"/>
          <w:numId w:val="3"/>
        </w:numPr>
        <w:spacing w:before="60"/>
        <w:jc w:val="both"/>
        <w:outlineLvl w:val="1"/>
        <w:rPr>
          <w:bCs/>
          <w:iCs/>
          <w:color w:val="000000"/>
        </w:rPr>
      </w:pPr>
      <w:r w:rsidRPr="00155C50">
        <w:rPr>
          <w:bCs/>
          <w:iCs/>
          <w:color w:val="000000"/>
        </w:rPr>
        <w:t>Otwar</w:t>
      </w:r>
      <w:r>
        <w:rPr>
          <w:bCs/>
          <w:iCs/>
          <w:color w:val="000000"/>
        </w:rPr>
        <w:t>cie</w:t>
      </w:r>
      <w:r w:rsidR="00F829D7">
        <w:rPr>
          <w:bCs/>
          <w:iCs/>
          <w:color w:val="000000"/>
        </w:rPr>
        <w:t xml:space="preserve"> ofert nastąpi w dniu 2019-08-22 o godz. 11</w:t>
      </w:r>
      <w:bookmarkStart w:id="1" w:name="_GoBack"/>
      <w:bookmarkEnd w:id="1"/>
      <w:r>
        <w:rPr>
          <w:bCs/>
          <w:iCs/>
          <w:color w:val="000000"/>
        </w:rPr>
        <w:t>:3</w:t>
      </w:r>
      <w:r w:rsidRPr="00155C50">
        <w:rPr>
          <w:bCs/>
          <w:iCs/>
          <w:color w:val="000000"/>
        </w:rPr>
        <w:t>0, w siedzibie Zamawiającego, pokój nr 400, paw. C2/C3</w:t>
      </w:r>
    </w:p>
    <w:p w:rsidR="00CC4EFB" w:rsidRPr="00155C50" w:rsidRDefault="00CC4EFB" w:rsidP="00CC4EFB">
      <w:pPr>
        <w:numPr>
          <w:ilvl w:val="1"/>
          <w:numId w:val="1"/>
        </w:numPr>
        <w:spacing w:before="60"/>
        <w:jc w:val="both"/>
        <w:outlineLvl w:val="1"/>
        <w:rPr>
          <w:bCs/>
          <w:iCs/>
          <w:color w:val="000000"/>
        </w:rPr>
      </w:pPr>
      <w:r w:rsidRPr="00155C50">
        <w:rPr>
          <w:bCs/>
          <w:iCs/>
          <w:color w:val="000000"/>
        </w:rPr>
        <w:t>Wykonawca nie może wycofać oferty ani wprowadzić jakichkolwiek zmian w jej treści po upływie terminu składania ofert.</w:t>
      </w:r>
    </w:p>
    <w:p w:rsidR="00CC4EFB" w:rsidRPr="00155C50" w:rsidRDefault="00CC4EFB" w:rsidP="00CC4EFB">
      <w:pPr>
        <w:numPr>
          <w:ilvl w:val="1"/>
          <w:numId w:val="1"/>
        </w:numPr>
        <w:spacing w:before="60"/>
        <w:jc w:val="both"/>
        <w:outlineLvl w:val="1"/>
        <w:rPr>
          <w:bCs/>
          <w:iCs/>
          <w:color w:val="000000"/>
        </w:rPr>
      </w:pPr>
      <w:r w:rsidRPr="00155C50">
        <w:rPr>
          <w:bCs/>
          <w:iCs/>
          <w:color w:val="000000"/>
        </w:rPr>
        <w:t>Niezwłocznie po otwarciu ofert zamawiający zamieści na własnej stronie internetowej (www.dzp.agh.edu.pl) informacje dotyczące:</w:t>
      </w:r>
    </w:p>
    <w:p w:rsidR="00CC4EFB" w:rsidRPr="00155C50" w:rsidRDefault="00CC4EFB" w:rsidP="00CC4EFB">
      <w:pPr>
        <w:numPr>
          <w:ilvl w:val="0"/>
          <w:numId w:val="8"/>
        </w:numPr>
        <w:spacing w:before="60"/>
        <w:ind w:left="1418" w:hanging="284"/>
        <w:jc w:val="both"/>
        <w:outlineLvl w:val="1"/>
        <w:rPr>
          <w:bCs/>
          <w:iCs/>
          <w:color w:val="000000"/>
        </w:rPr>
      </w:pPr>
      <w:r w:rsidRPr="00155C50">
        <w:rPr>
          <w:bCs/>
          <w:iCs/>
          <w:color w:val="000000"/>
        </w:rPr>
        <w:t>kwoty, jaką zamierza przeznaczyć na sfinansowanie zamówienia;</w:t>
      </w:r>
    </w:p>
    <w:p w:rsidR="00CC4EFB" w:rsidRPr="00155C50" w:rsidRDefault="00CC4EFB" w:rsidP="00CC4EFB">
      <w:pPr>
        <w:numPr>
          <w:ilvl w:val="0"/>
          <w:numId w:val="8"/>
        </w:numPr>
        <w:spacing w:before="60"/>
        <w:ind w:left="1418" w:hanging="284"/>
        <w:jc w:val="both"/>
        <w:outlineLvl w:val="1"/>
        <w:rPr>
          <w:bCs/>
          <w:iCs/>
          <w:color w:val="000000"/>
        </w:rPr>
      </w:pPr>
      <w:r w:rsidRPr="00155C50">
        <w:rPr>
          <w:bCs/>
          <w:iCs/>
          <w:color w:val="000000"/>
        </w:rPr>
        <w:t>firm oraz adresów wykonawców, którzy złożyli oferty w terminie;</w:t>
      </w:r>
    </w:p>
    <w:p w:rsidR="00CC4EFB" w:rsidRPr="00155C50" w:rsidRDefault="00CC4EFB" w:rsidP="00CC4EFB">
      <w:pPr>
        <w:numPr>
          <w:ilvl w:val="0"/>
          <w:numId w:val="8"/>
        </w:numPr>
        <w:spacing w:before="60"/>
        <w:ind w:left="1418" w:hanging="284"/>
        <w:jc w:val="both"/>
        <w:outlineLvl w:val="1"/>
        <w:rPr>
          <w:bCs/>
          <w:iCs/>
          <w:color w:val="000000"/>
        </w:rPr>
      </w:pPr>
      <w:r w:rsidRPr="00155C50">
        <w:rPr>
          <w:bCs/>
          <w:iCs/>
          <w:color w:val="000000"/>
        </w:rPr>
        <w:t>ceny, terminu wykonania zamówienia, okresu gwarancji i warunków płatności zawartych w ofertach.</w:t>
      </w:r>
    </w:p>
    <w:p w:rsidR="00CC4EFB" w:rsidRPr="00A80241" w:rsidRDefault="00CC4EFB" w:rsidP="00CC4EFB">
      <w:pPr>
        <w:numPr>
          <w:ilvl w:val="0"/>
          <w:numId w:val="3"/>
        </w:numPr>
        <w:spacing w:before="240" w:after="120"/>
        <w:jc w:val="both"/>
        <w:outlineLvl w:val="0"/>
        <w:rPr>
          <w:rFonts w:cs="Arial"/>
          <w:b/>
          <w:bCs/>
          <w:caps/>
          <w:kern w:val="32"/>
        </w:rPr>
      </w:pPr>
      <w:r w:rsidRPr="00155C50">
        <w:rPr>
          <w:rFonts w:cs="Arial"/>
          <w:b/>
          <w:bCs/>
          <w:caps/>
          <w:kern w:val="32"/>
        </w:rPr>
        <w:t xml:space="preserve">Opis </w:t>
      </w:r>
      <w:r w:rsidRPr="00A80241">
        <w:rPr>
          <w:rFonts w:cs="Arial"/>
          <w:b/>
          <w:bCs/>
          <w:caps/>
          <w:kern w:val="32"/>
        </w:rPr>
        <w:t>sposobu OBLICZENIA CENY:</w:t>
      </w:r>
    </w:p>
    <w:p w:rsidR="00CC4EFB" w:rsidRPr="00155C50" w:rsidRDefault="00CC4EFB" w:rsidP="00CC4EFB">
      <w:pPr>
        <w:numPr>
          <w:ilvl w:val="1"/>
          <w:numId w:val="3"/>
        </w:numPr>
        <w:spacing w:before="60"/>
        <w:jc w:val="both"/>
        <w:outlineLvl w:val="1"/>
        <w:rPr>
          <w:bCs/>
          <w:iCs/>
          <w:color w:val="000000"/>
        </w:rPr>
      </w:pPr>
      <w:r w:rsidRPr="00A80241">
        <w:rPr>
          <w:bCs/>
          <w:iCs/>
          <w:color w:val="000000"/>
        </w:rPr>
        <w:t xml:space="preserve">Cenę oferty stanowić będzie wartość brutto wpisana na formularzu oferty </w:t>
      </w:r>
      <w:r w:rsidRPr="00A80241">
        <w:rPr>
          <w:bCs/>
          <w:iCs/>
          <w:color w:val="000000"/>
        </w:rPr>
        <w:br/>
        <w:t xml:space="preserve">za całość  przedmiotu zamówienia. </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Kwotę podatku VAT należy obliczyć zgodnie z zasadami Ustawy o podatku od towaru i usług z 11.03.2004r. (Dz.U.2011.177.1054 z późniejszymi zmianami) </w:t>
      </w:r>
    </w:p>
    <w:p w:rsidR="00CC4EFB" w:rsidRPr="00155C50" w:rsidRDefault="00CC4EFB" w:rsidP="00CC4EFB">
      <w:pPr>
        <w:numPr>
          <w:ilvl w:val="1"/>
          <w:numId w:val="3"/>
        </w:numPr>
        <w:spacing w:before="60"/>
        <w:jc w:val="both"/>
        <w:outlineLvl w:val="1"/>
        <w:rPr>
          <w:bCs/>
          <w:iCs/>
          <w:color w:val="000000"/>
        </w:rPr>
      </w:pPr>
      <w:r w:rsidRPr="00155C50">
        <w:rPr>
          <w:bCs/>
          <w:iCs/>
          <w:color w:val="000000"/>
        </w:rPr>
        <w:lastRenderedPageBreak/>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CC4EFB" w:rsidRPr="00155C50" w:rsidRDefault="00CC4EFB" w:rsidP="00CC4EFB">
      <w:pPr>
        <w:numPr>
          <w:ilvl w:val="1"/>
          <w:numId w:val="3"/>
        </w:numPr>
        <w:spacing w:before="60"/>
        <w:jc w:val="both"/>
        <w:outlineLvl w:val="1"/>
        <w:rPr>
          <w:bCs/>
          <w:iCs/>
          <w:color w:val="000000"/>
        </w:rPr>
      </w:pPr>
      <w:r w:rsidRPr="00155C50">
        <w:rPr>
          <w:bCs/>
          <w:iCs/>
          <w:color w:val="000000"/>
        </w:rPr>
        <w:t xml:space="preserve">Zamawiający nie przewiduje udzielania zaliczek na poczet wykonania zamówienia. </w:t>
      </w:r>
    </w:p>
    <w:p w:rsidR="00CC4EFB" w:rsidRPr="00155C50" w:rsidRDefault="00CC4EFB" w:rsidP="00CC4EFB">
      <w:pPr>
        <w:numPr>
          <w:ilvl w:val="1"/>
          <w:numId w:val="3"/>
        </w:numPr>
        <w:spacing w:before="60"/>
        <w:jc w:val="both"/>
        <w:outlineLvl w:val="1"/>
        <w:rPr>
          <w:bCs/>
          <w:iCs/>
          <w:color w:val="000000"/>
        </w:rPr>
      </w:pPr>
      <w:r w:rsidRPr="00155C50">
        <w:rPr>
          <w:bCs/>
          <w:iCs/>
          <w:color w:val="000000"/>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CC4EFB" w:rsidRPr="00155C50" w:rsidRDefault="00CC4EFB" w:rsidP="00CC4EFB">
      <w:pPr>
        <w:numPr>
          <w:ilvl w:val="1"/>
          <w:numId w:val="3"/>
        </w:numPr>
        <w:spacing w:before="60"/>
        <w:jc w:val="both"/>
        <w:outlineLvl w:val="1"/>
        <w:rPr>
          <w:bCs/>
          <w:iCs/>
          <w:color w:val="000000"/>
        </w:rPr>
      </w:pPr>
      <w:r w:rsidRPr="00155C50">
        <w:rPr>
          <w:bCs/>
          <w:iCs/>
          <w:color w:val="000000"/>
        </w:rPr>
        <w:t>Zamawiający nie przewiduje rozliczenia w walutach obcych. Wszelkie rozliczenia między Zamawiającym a Wykonawcą będą prowadzone wyłącznie w złotych polskich (PLN).</w:t>
      </w:r>
    </w:p>
    <w:p w:rsidR="00CC4EFB" w:rsidRPr="00155C50" w:rsidRDefault="00CC4EFB" w:rsidP="00CC4EFB">
      <w:pPr>
        <w:numPr>
          <w:ilvl w:val="0"/>
          <w:numId w:val="3"/>
        </w:numPr>
        <w:spacing w:before="240" w:after="120"/>
        <w:jc w:val="both"/>
        <w:outlineLvl w:val="0"/>
        <w:rPr>
          <w:rFonts w:cs="Arial"/>
          <w:b/>
          <w:bCs/>
          <w:caps/>
          <w:kern w:val="32"/>
        </w:rPr>
      </w:pPr>
      <w:r w:rsidRPr="00155C50">
        <w:rPr>
          <w:rFonts w:cs="Arial"/>
          <w:b/>
          <w:bCs/>
          <w:caps/>
          <w:kern w:val="32"/>
          <w:sz w:val="22"/>
          <w:szCs w:val="22"/>
        </w:rPr>
        <w:t xml:space="preserve">OPIS KRYTERIÓW, KTÓRYMI ZAMAWIAJĄCY BĘDZIE się KIEROWAŁ PRZY WYBORZE OFERTY WRAZ Z PODANIEM ZNACZENIA TYCH KRYTERIÓW </w:t>
      </w:r>
      <w:r w:rsidRPr="00155C50">
        <w:rPr>
          <w:rFonts w:cs="Arial"/>
          <w:b/>
          <w:bCs/>
          <w:caps/>
          <w:kern w:val="32"/>
          <w:sz w:val="22"/>
          <w:szCs w:val="22"/>
        </w:rPr>
        <w:br/>
        <w:t xml:space="preserve">I SPOSOBU OCENY OFERT.  </w:t>
      </w:r>
    </w:p>
    <w:p w:rsidR="00CC4EFB" w:rsidRPr="00155C50" w:rsidRDefault="00CC4EFB" w:rsidP="00CC4EFB">
      <w:pPr>
        <w:numPr>
          <w:ilvl w:val="1"/>
          <w:numId w:val="1"/>
        </w:numPr>
        <w:spacing w:before="60"/>
        <w:jc w:val="both"/>
        <w:outlineLvl w:val="1"/>
        <w:rPr>
          <w:bCs/>
          <w:iCs/>
          <w:color w:val="000000"/>
        </w:rPr>
      </w:pPr>
      <w:r w:rsidRPr="00155C50">
        <w:rPr>
          <w:bCs/>
          <w:iCs/>
          <w:color w:val="000000"/>
        </w:rPr>
        <w:t>K Zamawiający będzie oceniał oferty według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CC4EFB" w:rsidRPr="00155C50" w:rsidTr="00D72B0F">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tcPr>
          <w:p w:rsidR="00CC4EFB" w:rsidRPr="00155C50" w:rsidRDefault="00CC4EFB" w:rsidP="00D72B0F">
            <w:pPr>
              <w:spacing w:after="120"/>
              <w:jc w:val="center"/>
              <w:rPr>
                <w:b/>
                <w:sz w:val="20"/>
                <w:szCs w:val="20"/>
              </w:rPr>
            </w:pPr>
            <w:r w:rsidRPr="00155C50">
              <w:rPr>
                <w:b/>
                <w:sz w:val="20"/>
                <w:szCs w:val="20"/>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tcPr>
          <w:p w:rsidR="00CC4EFB" w:rsidRPr="00155C50" w:rsidRDefault="00CC4EFB" w:rsidP="00D72B0F">
            <w:pPr>
              <w:spacing w:after="120"/>
              <w:jc w:val="center"/>
              <w:rPr>
                <w:b/>
                <w:sz w:val="20"/>
                <w:szCs w:val="20"/>
              </w:rPr>
            </w:pPr>
            <w:r w:rsidRPr="00155C50">
              <w:rPr>
                <w:b/>
                <w:sz w:val="20"/>
                <w:szCs w:val="20"/>
              </w:rPr>
              <w:t>Nazwa kryterium:</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tcPr>
          <w:p w:rsidR="00CC4EFB" w:rsidRPr="00155C50" w:rsidRDefault="00CC4EFB" w:rsidP="00D72B0F">
            <w:pPr>
              <w:spacing w:after="120"/>
              <w:jc w:val="center"/>
              <w:rPr>
                <w:b/>
                <w:sz w:val="20"/>
                <w:szCs w:val="20"/>
              </w:rPr>
            </w:pPr>
            <w:r w:rsidRPr="00155C50">
              <w:rPr>
                <w:b/>
                <w:sz w:val="20"/>
                <w:szCs w:val="20"/>
              </w:rPr>
              <w:t>Waga:</w:t>
            </w:r>
          </w:p>
        </w:tc>
      </w:tr>
      <w:tr w:rsidR="00CC4EFB" w:rsidRPr="00155C50" w:rsidTr="00D72B0F">
        <w:trPr>
          <w:trHeight w:val="406"/>
        </w:trPr>
        <w:tc>
          <w:tcPr>
            <w:tcW w:w="1222" w:type="dxa"/>
            <w:tcBorders>
              <w:top w:val="single" w:sz="4" w:space="0" w:color="auto"/>
              <w:left w:val="single" w:sz="4" w:space="0" w:color="auto"/>
              <w:bottom w:val="single" w:sz="4" w:space="0" w:color="auto"/>
              <w:right w:val="single" w:sz="4" w:space="0" w:color="auto"/>
            </w:tcBorders>
            <w:shd w:val="clear" w:color="auto" w:fill="auto"/>
          </w:tcPr>
          <w:p w:rsidR="00CC4EFB" w:rsidRPr="00155C50" w:rsidRDefault="00CC4EFB" w:rsidP="00D72B0F">
            <w:pPr>
              <w:spacing w:after="120"/>
              <w:jc w:val="right"/>
            </w:pPr>
            <w:r w:rsidRPr="00155C50">
              <w:t>1</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CC4EFB" w:rsidRPr="00155C50" w:rsidRDefault="00CC4EFB" w:rsidP="00D72B0F">
            <w:pPr>
              <w:spacing w:after="120"/>
            </w:pPr>
            <w:r w:rsidRPr="00155C50">
              <w:t>Cena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C4EFB" w:rsidRPr="00155C50" w:rsidRDefault="00CC4EFB" w:rsidP="00D72B0F">
            <w:pPr>
              <w:spacing w:after="120"/>
              <w:jc w:val="center"/>
            </w:pPr>
            <w:r w:rsidRPr="00155C50">
              <w:t>60 %</w:t>
            </w:r>
          </w:p>
        </w:tc>
      </w:tr>
      <w:tr w:rsidR="00CC4EFB" w:rsidRPr="00155C50" w:rsidTr="00D72B0F">
        <w:trPr>
          <w:trHeight w:val="406"/>
        </w:trPr>
        <w:tc>
          <w:tcPr>
            <w:tcW w:w="1222" w:type="dxa"/>
            <w:tcBorders>
              <w:top w:val="single" w:sz="4" w:space="0" w:color="auto"/>
              <w:left w:val="single" w:sz="4" w:space="0" w:color="auto"/>
              <w:bottom w:val="single" w:sz="4" w:space="0" w:color="auto"/>
              <w:right w:val="single" w:sz="4" w:space="0" w:color="auto"/>
            </w:tcBorders>
            <w:shd w:val="clear" w:color="auto" w:fill="auto"/>
          </w:tcPr>
          <w:p w:rsidR="00CC4EFB" w:rsidRPr="00155C50" w:rsidRDefault="00CC4EFB" w:rsidP="00D72B0F">
            <w:pPr>
              <w:spacing w:after="120"/>
              <w:jc w:val="right"/>
            </w:pPr>
            <w:r w:rsidRPr="00155C50">
              <w:t>2</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CC4EFB" w:rsidRPr="00155C50" w:rsidRDefault="00CC4EFB" w:rsidP="00D72B0F">
            <w:pPr>
              <w:spacing w:after="120"/>
            </w:pPr>
            <w:r>
              <w:t xml:space="preserve">Okres gwarancji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C4EFB" w:rsidRPr="00155C50" w:rsidRDefault="00CC4EFB" w:rsidP="00D72B0F">
            <w:pPr>
              <w:spacing w:after="120"/>
              <w:jc w:val="center"/>
            </w:pPr>
            <w:r>
              <w:t>25</w:t>
            </w:r>
            <w:r w:rsidRPr="00155C50">
              <w:t xml:space="preserve"> %</w:t>
            </w:r>
          </w:p>
        </w:tc>
      </w:tr>
      <w:tr w:rsidR="00CC4EFB" w:rsidRPr="00155C50" w:rsidTr="00D72B0F">
        <w:trPr>
          <w:trHeight w:val="406"/>
        </w:trPr>
        <w:tc>
          <w:tcPr>
            <w:tcW w:w="1222" w:type="dxa"/>
            <w:tcBorders>
              <w:top w:val="single" w:sz="4" w:space="0" w:color="auto"/>
              <w:left w:val="single" w:sz="4" w:space="0" w:color="auto"/>
              <w:bottom w:val="single" w:sz="4" w:space="0" w:color="auto"/>
              <w:right w:val="single" w:sz="4" w:space="0" w:color="auto"/>
            </w:tcBorders>
            <w:shd w:val="clear" w:color="auto" w:fill="auto"/>
          </w:tcPr>
          <w:p w:rsidR="00CC4EFB" w:rsidRPr="00155C50" w:rsidRDefault="00CC4EFB" w:rsidP="00D72B0F">
            <w:pPr>
              <w:spacing w:after="120"/>
              <w:jc w:val="right"/>
            </w:pPr>
            <w:r w:rsidRPr="00155C50">
              <w:t>3</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CC4EFB" w:rsidRPr="00155C50" w:rsidRDefault="00CC4EFB" w:rsidP="00D72B0F">
            <w:pPr>
              <w:spacing w:after="120"/>
            </w:pPr>
            <w:r>
              <w:t>Termin realizacji</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C4EFB" w:rsidRPr="00155C50" w:rsidRDefault="006E07B9" w:rsidP="00D72B0F">
            <w:pPr>
              <w:spacing w:after="120"/>
              <w:jc w:val="center"/>
            </w:pPr>
            <w:r>
              <w:t>1</w:t>
            </w:r>
            <w:r w:rsidR="00CC4EFB">
              <w:t>5</w:t>
            </w:r>
            <w:r w:rsidR="00CC4EFB" w:rsidRPr="00155C50">
              <w:t>%</w:t>
            </w:r>
          </w:p>
        </w:tc>
      </w:tr>
    </w:tbl>
    <w:p w:rsidR="00CC4EFB" w:rsidRPr="00155C50" w:rsidRDefault="00CC4EFB" w:rsidP="00CC4EFB">
      <w:pPr>
        <w:rPr>
          <w:vanish/>
        </w:rPr>
      </w:pPr>
    </w:p>
    <w:p w:rsidR="00CC4EFB" w:rsidRPr="00155C50" w:rsidRDefault="00CC4EFB" w:rsidP="00CC4EFB">
      <w:pPr>
        <w:numPr>
          <w:ilvl w:val="1"/>
          <w:numId w:val="1"/>
        </w:numPr>
        <w:spacing w:before="60"/>
        <w:jc w:val="both"/>
        <w:outlineLvl w:val="1"/>
        <w:rPr>
          <w:bCs/>
          <w:iCs/>
          <w:color w:val="000000"/>
        </w:rPr>
      </w:pPr>
      <w:r w:rsidRPr="00155C50">
        <w:rPr>
          <w:bCs/>
          <w:iCs/>
          <w:color w:val="000000"/>
        </w:rPr>
        <w:t xml:space="preserve">Punkty przyznawane za podane w pkt 15.1 kryteria będą liczone według następujących wzorów: </w:t>
      </w:r>
    </w:p>
    <w:tbl>
      <w:tblPr>
        <w:tblW w:w="8537" w:type="dxa"/>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300"/>
      </w:tblGrid>
      <w:tr w:rsidR="00CC4EFB" w:rsidRPr="00155C50" w:rsidTr="00D72B0F">
        <w:trPr>
          <w:jc w:val="center"/>
        </w:trPr>
        <w:tc>
          <w:tcPr>
            <w:tcW w:w="223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C4EFB" w:rsidRPr="00155C50" w:rsidRDefault="00CC4EFB" w:rsidP="00D72B0F">
            <w:pPr>
              <w:spacing w:after="120"/>
              <w:jc w:val="center"/>
              <w:rPr>
                <w:b/>
                <w:sz w:val="20"/>
                <w:szCs w:val="20"/>
              </w:rPr>
            </w:pPr>
            <w:r w:rsidRPr="00155C50">
              <w:rPr>
                <w:b/>
                <w:sz w:val="20"/>
                <w:szCs w:val="20"/>
              </w:rPr>
              <w:t>Nr kryterium:</w:t>
            </w:r>
          </w:p>
        </w:tc>
        <w:tc>
          <w:tcPr>
            <w:tcW w:w="63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C4EFB" w:rsidRPr="00155C50" w:rsidRDefault="00CC4EFB" w:rsidP="00D72B0F">
            <w:pPr>
              <w:spacing w:after="120"/>
              <w:jc w:val="center"/>
              <w:rPr>
                <w:b/>
                <w:sz w:val="20"/>
                <w:szCs w:val="20"/>
              </w:rPr>
            </w:pPr>
            <w:r w:rsidRPr="00155C50">
              <w:rPr>
                <w:b/>
                <w:sz w:val="20"/>
                <w:szCs w:val="20"/>
              </w:rPr>
              <w:t>Wzór:</w:t>
            </w:r>
          </w:p>
        </w:tc>
      </w:tr>
      <w:tr w:rsidR="00CC4EFB" w:rsidRPr="00155C50" w:rsidTr="00D72B0F">
        <w:trPr>
          <w:jc w:val="center"/>
        </w:trPr>
        <w:tc>
          <w:tcPr>
            <w:tcW w:w="2237" w:type="dxa"/>
            <w:tcBorders>
              <w:top w:val="single" w:sz="4" w:space="0" w:color="auto"/>
              <w:left w:val="single" w:sz="4" w:space="0" w:color="auto"/>
              <w:bottom w:val="single" w:sz="4" w:space="0" w:color="auto"/>
              <w:right w:val="single" w:sz="4" w:space="0" w:color="auto"/>
            </w:tcBorders>
            <w:hideMark/>
          </w:tcPr>
          <w:p w:rsidR="00CC4EFB" w:rsidRPr="00155C50" w:rsidRDefault="00CC4EFB" w:rsidP="00D72B0F">
            <w:pPr>
              <w:spacing w:after="120"/>
              <w:jc w:val="center"/>
            </w:pPr>
            <w:r w:rsidRPr="00155C50">
              <w:t>1</w:t>
            </w:r>
          </w:p>
        </w:tc>
        <w:tc>
          <w:tcPr>
            <w:tcW w:w="6300" w:type="dxa"/>
            <w:tcBorders>
              <w:top w:val="single" w:sz="4" w:space="0" w:color="auto"/>
              <w:left w:val="single" w:sz="4" w:space="0" w:color="auto"/>
              <w:bottom w:val="single" w:sz="4" w:space="0" w:color="auto"/>
              <w:right w:val="single" w:sz="4" w:space="0" w:color="auto"/>
            </w:tcBorders>
            <w:hideMark/>
          </w:tcPr>
          <w:p w:rsidR="00CC4EFB" w:rsidRPr="00155C50" w:rsidRDefault="00CC4EFB" w:rsidP="00D72B0F">
            <w:pPr>
              <w:spacing w:after="120"/>
              <w:rPr>
                <w:b/>
              </w:rPr>
            </w:pPr>
            <w:r w:rsidRPr="00155C50">
              <w:rPr>
                <w:b/>
              </w:rPr>
              <w:t>Cena</w:t>
            </w:r>
          </w:p>
          <w:p w:rsidR="00CC4EFB" w:rsidRPr="00155C50" w:rsidRDefault="00CC4EFB" w:rsidP="00D72B0F">
            <w:pPr>
              <w:spacing w:after="120"/>
            </w:pPr>
            <w:r w:rsidRPr="00155C50">
              <w:t xml:space="preserve">Liczba punktów = ( </w:t>
            </w:r>
            <w:proofErr w:type="spellStart"/>
            <w:r w:rsidRPr="00155C50">
              <w:t>Cmin</w:t>
            </w:r>
            <w:proofErr w:type="spellEnd"/>
            <w:r w:rsidRPr="00155C50">
              <w:t>/</w:t>
            </w:r>
            <w:proofErr w:type="spellStart"/>
            <w:r w:rsidRPr="00155C50">
              <w:t>Cof</w:t>
            </w:r>
            <w:proofErr w:type="spellEnd"/>
            <w:r w:rsidRPr="00155C50">
              <w:t xml:space="preserve"> ) * 100 * waga</w:t>
            </w:r>
          </w:p>
          <w:p w:rsidR="00CC4EFB" w:rsidRPr="00155C50" w:rsidRDefault="00CC4EFB" w:rsidP="00D72B0F">
            <w:pPr>
              <w:spacing w:after="120"/>
            </w:pPr>
            <w:r w:rsidRPr="00155C50">
              <w:t>gdzie:</w:t>
            </w:r>
          </w:p>
          <w:p w:rsidR="00CC4EFB" w:rsidRPr="00155C50" w:rsidRDefault="00CC4EFB" w:rsidP="00D72B0F">
            <w:pPr>
              <w:spacing w:after="120"/>
            </w:pPr>
            <w:r w:rsidRPr="00155C50">
              <w:t xml:space="preserve">- </w:t>
            </w:r>
            <w:proofErr w:type="spellStart"/>
            <w:r w:rsidRPr="00155C50">
              <w:t>Cmin</w:t>
            </w:r>
            <w:proofErr w:type="spellEnd"/>
            <w:r w:rsidRPr="00155C50">
              <w:t xml:space="preserve"> - najniższa cena spośród wszystkich ofert</w:t>
            </w:r>
          </w:p>
          <w:p w:rsidR="00CC4EFB" w:rsidRPr="00155C50" w:rsidRDefault="00CC4EFB" w:rsidP="00D72B0F">
            <w:pPr>
              <w:spacing w:after="120"/>
            </w:pPr>
            <w:r w:rsidRPr="00155C50">
              <w:t xml:space="preserve">- </w:t>
            </w:r>
            <w:proofErr w:type="spellStart"/>
            <w:r w:rsidRPr="00155C50">
              <w:t>Cof</w:t>
            </w:r>
            <w:proofErr w:type="spellEnd"/>
            <w:r w:rsidRPr="00155C50">
              <w:t xml:space="preserve"> -  cena podana w ofercie</w:t>
            </w:r>
          </w:p>
        </w:tc>
      </w:tr>
      <w:tr w:rsidR="00CC4EFB" w:rsidRPr="00155C50" w:rsidTr="00D72B0F">
        <w:trPr>
          <w:jc w:val="center"/>
        </w:trPr>
        <w:tc>
          <w:tcPr>
            <w:tcW w:w="2237" w:type="dxa"/>
            <w:tcBorders>
              <w:top w:val="single" w:sz="4" w:space="0" w:color="auto"/>
              <w:left w:val="single" w:sz="4" w:space="0" w:color="auto"/>
              <w:bottom w:val="single" w:sz="4" w:space="0" w:color="auto"/>
              <w:right w:val="single" w:sz="4" w:space="0" w:color="auto"/>
            </w:tcBorders>
            <w:hideMark/>
          </w:tcPr>
          <w:p w:rsidR="00CC4EFB" w:rsidRPr="00155C50" w:rsidRDefault="00CC4EFB" w:rsidP="00D72B0F">
            <w:pPr>
              <w:spacing w:after="120"/>
              <w:jc w:val="center"/>
            </w:pPr>
            <w:r w:rsidRPr="00155C50">
              <w:t>2</w:t>
            </w:r>
          </w:p>
        </w:tc>
        <w:tc>
          <w:tcPr>
            <w:tcW w:w="6300" w:type="dxa"/>
            <w:tcBorders>
              <w:top w:val="single" w:sz="4" w:space="0" w:color="auto"/>
              <w:left w:val="single" w:sz="4" w:space="0" w:color="auto"/>
              <w:bottom w:val="single" w:sz="4" w:space="0" w:color="auto"/>
              <w:right w:val="single" w:sz="4" w:space="0" w:color="auto"/>
            </w:tcBorders>
            <w:hideMark/>
          </w:tcPr>
          <w:p w:rsidR="00CC4EFB" w:rsidRPr="00D00463" w:rsidRDefault="00CC4EFB" w:rsidP="00CC4EFB">
            <w:pPr>
              <w:spacing w:after="120"/>
              <w:rPr>
                <w:b/>
              </w:rPr>
            </w:pPr>
            <w:r w:rsidRPr="00D00463">
              <w:rPr>
                <w:b/>
              </w:rPr>
              <w:t xml:space="preserve">Okres gwarancji </w:t>
            </w:r>
          </w:p>
          <w:p w:rsidR="00CC4EFB" w:rsidRPr="00D00463" w:rsidRDefault="00CC4EFB" w:rsidP="00CC4EFB">
            <w:pPr>
              <w:spacing w:after="120"/>
              <w:rPr>
                <w:b/>
              </w:rPr>
            </w:pPr>
            <w:r>
              <w:rPr>
                <w:b/>
              </w:rPr>
              <w:t>Liczba punktów = [(G of-24 )/(G max-24</w:t>
            </w:r>
            <w:r w:rsidRPr="00D00463">
              <w:rPr>
                <w:b/>
              </w:rPr>
              <w:t>)] * 100 * Wg</w:t>
            </w:r>
          </w:p>
          <w:p w:rsidR="00CC4EFB" w:rsidRPr="00D00463" w:rsidRDefault="00CC4EFB" w:rsidP="00CC4EFB">
            <w:pPr>
              <w:spacing w:after="120"/>
              <w:rPr>
                <w:b/>
              </w:rPr>
            </w:pPr>
            <w:r w:rsidRPr="00D00463">
              <w:rPr>
                <w:b/>
              </w:rPr>
              <w:t>gdzie:</w:t>
            </w:r>
          </w:p>
          <w:p w:rsidR="00CC4EFB" w:rsidRPr="00D00463" w:rsidRDefault="00CC4EFB" w:rsidP="00CC4EFB">
            <w:pPr>
              <w:spacing w:after="120"/>
              <w:rPr>
                <w:b/>
              </w:rPr>
            </w:pPr>
            <w:r w:rsidRPr="00D00463">
              <w:rPr>
                <w:b/>
              </w:rPr>
              <w:t xml:space="preserve"> - G max  -  maksymalny okres gwarancji ws</w:t>
            </w:r>
            <w:r>
              <w:rPr>
                <w:b/>
              </w:rPr>
              <w:t xml:space="preserve">kazany przez Zamawiającego tj. </w:t>
            </w:r>
            <w:r w:rsidRPr="00D00463">
              <w:rPr>
                <w:b/>
              </w:rPr>
              <w:t>6</w:t>
            </w:r>
            <w:r>
              <w:rPr>
                <w:b/>
              </w:rPr>
              <w:t>0</w:t>
            </w:r>
            <w:r w:rsidRPr="00D00463">
              <w:rPr>
                <w:b/>
              </w:rPr>
              <w:t xml:space="preserve"> miesięcy.</w:t>
            </w:r>
          </w:p>
          <w:p w:rsidR="00CC4EFB" w:rsidRPr="00D00463" w:rsidRDefault="00CC4EFB" w:rsidP="00CC4EFB">
            <w:pPr>
              <w:spacing w:after="120"/>
              <w:rPr>
                <w:b/>
              </w:rPr>
            </w:pPr>
            <w:r w:rsidRPr="00D00463">
              <w:rPr>
                <w:b/>
              </w:rPr>
              <w:t xml:space="preserve"> - G of - podany w ofercie badanej</w:t>
            </w:r>
          </w:p>
          <w:p w:rsidR="00CC4EFB" w:rsidRPr="00D00463" w:rsidRDefault="00CC4EFB" w:rsidP="00CC4EFB">
            <w:pPr>
              <w:spacing w:after="120"/>
            </w:pPr>
            <w:r w:rsidRPr="00D00463">
              <w:t>- Wg  -  waga kryterium okres udzielonej gwarancji</w:t>
            </w:r>
          </w:p>
          <w:p w:rsidR="00CC4EFB" w:rsidRPr="00D00463" w:rsidRDefault="00CC4EFB" w:rsidP="00CC4EFB">
            <w:pPr>
              <w:spacing w:after="120"/>
              <w:jc w:val="both"/>
            </w:pPr>
            <w:r>
              <w:t>24</w:t>
            </w:r>
            <w:r w:rsidRPr="00D00463">
              <w:t xml:space="preserve"> miesięczny  okres udzielonej gwarancji  - nie będzie punktowany.</w:t>
            </w:r>
          </w:p>
          <w:p w:rsidR="00CC4EFB" w:rsidRPr="00D00463" w:rsidRDefault="00CC4EFB" w:rsidP="00CC4EFB">
            <w:pPr>
              <w:spacing w:after="120"/>
              <w:jc w:val="both"/>
            </w:pPr>
            <w:r w:rsidRPr="00D00463">
              <w:t>Zamawiający będzie przyznawał punkty za każd</w:t>
            </w:r>
            <w:r>
              <w:t xml:space="preserve">y miesiąc </w:t>
            </w:r>
            <w:r>
              <w:lastRenderedPageBreak/>
              <w:t>powyżej minimalnego 24</w:t>
            </w:r>
            <w:r w:rsidRPr="00D00463">
              <w:t xml:space="preserve"> miesięcznego wymaganego w SIWZ.</w:t>
            </w:r>
          </w:p>
          <w:p w:rsidR="00CC4EFB" w:rsidRPr="00D00463" w:rsidRDefault="00CC4EFB" w:rsidP="00CC4EFB">
            <w:pPr>
              <w:spacing w:after="120"/>
            </w:pPr>
            <w:r w:rsidRPr="00D00463">
              <w:t xml:space="preserve">Udzielony okres gwarancji powyżej </w:t>
            </w:r>
            <w:r w:rsidRPr="00D00463">
              <w:rPr>
                <w:b/>
              </w:rPr>
              <w:t>6</w:t>
            </w:r>
            <w:r>
              <w:rPr>
                <w:b/>
              </w:rPr>
              <w:t>0</w:t>
            </w:r>
            <w:r w:rsidRPr="00D00463">
              <w:rPr>
                <w:b/>
              </w:rPr>
              <w:t xml:space="preserve"> miesięcy</w:t>
            </w:r>
            <w:r w:rsidRPr="00D00463">
              <w:t xml:space="preserve"> nie będzie dodatkowo punktowany</w:t>
            </w:r>
          </w:p>
        </w:tc>
      </w:tr>
      <w:tr w:rsidR="00CC4EFB" w:rsidRPr="00155C50" w:rsidTr="00D544DB">
        <w:trPr>
          <w:trHeight w:val="5472"/>
          <w:jc w:val="center"/>
        </w:trPr>
        <w:tc>
          <w:tcPr>
            <w:tcW w:w="2237" w:type="dxa"/>
            <w:tcBorders>
              <w:top w:val="single" w:sz="4" w:space="0" w:color="auto"/>
              <w:left w:val="single" w:sz="4" w:space="0" w:color="auto"/>
              <w:bottom w:val="single" w:sz="4" w:space="0" w:color="auto"/>
              <w:right w:val="single" w:sz="4" w:space="0" w:color="auto"/>
            </w:tcBorders>
            <w:hideMark/>
          </w:tcPr>
          <w:p w:rsidR="00CC4EFB" w:rsidRPr="00155C50" w:rsidRDefault="00CC4EFB" w:rsidP="00D72B0F">
            <w:pPr>
              <w:spacing w:after="120"/>
              <w:jc w:val="center"/>
            </w:pPr>
            <w:r w:rsidRPr="00155C50">
              <w:lastRenderedPageBreak/>
              <w:t>3</w:t>
            </w:r>
          </w:p>
        </w:tc>
        <w:tc>
          <w:tcPr>
            <w:tcW w:w="6300" w:type="dxa"/>
            <w:tcBorders>
              <w:top w:val="single" w:sz="4" w:space="0" w:color="auto"/>
              <w:left w:val="single" w:sz="4" w:space="0" w:color="auto"/>
              <w:bottom w:val="single" w:sz="4" w:space="0" w:color="auto"/>
              <w:right w:val="single" w:sz="4" w:space="0" w:color="auto"/>
            </w:tcBorders>
            <w:hideMark/>
          </w:tcPr>
          <w:p w:rsidR="00CC4EFB" w:rsidRDefault="00CC4EFB" w:rsidP="00D72B0F">
            <w:pPr>
              <w:spacing w:after="120"/>
              <w:rPr>
                <w:b/>
              </w:rPr>
            </w:pPr>
            <w:r>
              <w:rPr>
                <w:b/>
              </w:rPr>
              <w:t>Termin realizacji</w:t>
            </w:r>
          </w:p>
          <w:p w:rsidR="00D544DB" w:rsidRPr="00D544DB" w:rsidRDefault="00D544DB" w:rsidP="00D544DB">
            <w:pPr>
              <w:spacing w:after="120"/>
            </w:pPr>
            <w:r w:rsidRPr="00D544DB">
              <w:t xml:space="preserve">Liczba punktów = </w:t>
            </w:r>
            <w:proofErr w:type="spellStart"/>
            <w:r w:rsidRPr="00D544DB">
              <w:t>Tw</w:t>
            </w:r>
            <w:proofErr w:type="spellEnd"/>
            <w:r w:rsidRPr="00D544DB">
              <w:t xml:space="preserve"> * </w:t>
            </w:r>
            <w:proofErr w:type="spellStart"/>
            <w:r w:rsidRPr="00D544DB">
              <w:t>Wt</w:t>
            </w:r>
            <w:proofErr w:type="spellEnd"/>
          </w:p>
          <w:p w:rsidR="00D544DB" w:rsidRPr="00D544DB" w:rsidRDefault="00D544DB" w:rsidP="00D544DB">
            <w:pPr>
              <w:spacing w:after="120"/>
            </w:pPr>
            <w:r w:rsidRPr="00D544DB">
              <w:t>gdzie</w:t>
            </w:r>
          </w:p>
          <w:p w:rsidR="00D544DB" w:rsidRPr="00D544DB" w:rsidRDefault="00D544DB" w:rsidP="00D544DB">
            <w:pPr>
              <w:spacing w:after="120"/>
            </w:pPr>
            <w:proofErr w:type="spellStart"/>
            <w:r w:rsidRPr="00D544DB">
              <w:t>Tw</w:t>
            </w:r>
            <w:proofErr w:type="spellEnd"/>
            <w:r w:rsidRPr="00D544DB">
              <w:t>- termin wykonania  wg następującej klasyfikacji:</w:t>
            </w:r>
          </w:p>
          <w:p w:rsidR="00D544DB" w:rsidRPr="00D544DB" w:rsidRDefault="00D544DB" w:rsidP="00D544DB">
            <w:pPr>
              <w:numPr>
                <w:ilvl w:val="0"/>
                <w:numId w:val="14"/>
              </w:numPr>
              <w:spacing w:after="120"/>
              <w:jc w:val="both"/>
              <w:rPr>
                <w:bCs/>
                <w:iCs/>
              </w:rPr>
            </w:pPr>
            <w:r w:rsidRPr="00D544DB">
              <w:rPr>
                <w:b/>
                <w:bCs/>
                <w:iCs/>
              </w:rPr>
              <w:t>0 pkt</w:t>
            </w:r>
            <w:r w:rsidRPr="00D544DB">
              <w:rPr>
                <w:bCs/>
                <w:iCs/>
              </w:rPr>
              <w:t xml:space="preserve"> – za termin realizacji </w:t>
            </w:r>
            <w:r w:rsidRPr="00D544DB">
              <w:rPr>
                <w:b/>
                <w:bCs/>
                <w:iCs/>
              </w:rPr>
              <w:t>25 tygodni</w:t>
            </w:r>
            <w:r w:rsidRPr="00D544DB">
              <w:rPr>
                <w:bCs/>
                <w:iCs/>
              </w:rPr>
              <w:t xml:space="preserve"> od daty podpisania umowy</w:t>
            </w:r>
          </w:p>
          <w:p w:rsidR="00D544DB" w:rsidRPr="00D544DB" w:rsidRDefault="00D544DB" w:rsidP="00D544DB">
            <w:pPr>
              <w:numPr>
                <w:ilvl w:val="0"/>
                <w:numId w:val="14"/>
              </w:numPr>
              <w:spacing w:after="120"/>
              <w:jc w:val="both"/>
              <w:rPr>
                <w:bCs/>
                <w:iCs/>
              </w:rPr>
            </w:pPr>
            <w:r w:rsidRPr="00D544DB">
              <w:rPr>
                <w:b/>
                <w:bCs/>
                <w:iCs/>
              </w:rPr>
              <w:t>25 pkt</w:t>
            </w:r>
            <w:r w:rsidRPr="00D544DB">
              <w:rPr>
                <w:bCs/>
                <w:iCs/>
              </w:rPr>
              <w:t xml:space="preserve"> – za termin realizacji </w:t>
            </w:r>
            <w:r w:rsidRPr="00D544DB">
              <w:rPr>
                <w:b/>
                <w:bCs/>
                <w:iCs/>
              </w:rPr>
              <w:t>od 21 do 24 tygodni</w:t>
            </w:r>
            <w:r w:rsidRPr="00D544DB">
              <w:rPr>
                <w:bCs/>
                <w:iCs/>
              </w:rPr>
              <w:t xml:space="preserve"> od daty podpisania umowy</w:t>
            </w:r>
          </w:p>
          <w:p w:rsidR="00D544DB" w:rsidRPr="00D544DB" w:rsidRDefault="00D544DB" w:rsidP="00D544DB">
            <w:pPr>
              <w:numPr>
                <w:ilvl w:val="0"/>
                <w:numId w:val="14"/>
              </w:numPr>
              <w:spacing w:after="120"/>
              <w:jc w:val="both"/>
              <w:rPr>
                <w:bCs/>
                <w:iCs/>
              </w:rPr>
            </w:pPr>
            <w:r w:rsidRPr="00D544DB">
              <w:rPr>
                <w:b/>
                <w:bCs/>
                <w:iCs/>
              </w:rPr>
              <w:t>50 pkt</w:t>
            </w:r>
            <w:r w:rsidRPr="00D544DB">
              <w:rPr>
                <w:bCs/>
                <w:iCs/>
              </w:rPr>
              <w:t xml:space="preserve"> – za termin realizacji</w:t>
            </w:r>
            <w:r w:rsidRPr="00D544DB">
              <w:rPr>
                <w:b/>
                <w:bCs/>
                <w:iCs/>
              </w:rPr>
              <w:t xml:space="preserve"> od 17 do 20 tygodni</w:t>
            </w:r>
            <w:r w:rsidRPr="00D544DB">
              <w:rPr>
                <w:bCs/>
                <w:iCs/>
              </w:rPr>
              <w:t xml:space="preserve"> od daty podpisania umowy</w:t>
            </w:r>
          </w:p>
          <w:p w:rsidR="00D544DB" w:rsidRPr="00D544DB" w:rsidRDefault="00D544DB" w:rsidP="00D544DB">
            <w:pPr>
              <w:numPr>
                <w:ilvl w:val="0"/>
                <w:numId w:val="14"/>
              </w:numPr>
              <w:spacing w:after="120"/>
              <w:jc w:val="both"/>
              <w:rPr>
                <w:bCs/>
                <w:iCs/>
              </w:rPr>
            </w:pPr>
            <w:r w:rsidRPr="00D544DB">
              <w:rPr>
                <w:b/>
                <w:bCs/>
                <w:iCs/>
              </w:rPr>
              <w:t xml:space="preserve">75 pkt </w:t>
            </w:r>
            <w:r w:rsidRPr="00D544DB">
              <w:rPr>
                <w:bCs/>
                <w:iCs/>
              </w:rPr>
              <w:t>- za termin realizacji</w:t>
            </w:r>
            <w:r w:rsidRPr="00D544DB">
              <w:rPr>
                <w:b/>
                <w:bCs/>
                <w:iCs/>
              </w:rPr>
              <w:t xml:space="preserve"> od 9 do 16 tygodni</w:t>
            </w:r>
            <w:r w:rsidRPr="00D544DB">
              <w:rPr>
                <w:bCs/>
                <w:iCs/>
              </w:rPr>
              <w:t xml:space="preserve"> od daty podpisania umowy</w:t>
            </w:r>
          </w:p>
          <w:p w:rsidR="00D544DB" w:rsidRPr="00D544DB" w:rsidRDefault="00D544DB" w:rsidP="00D544DB">
            <w:pPr>
              <w:numPr>
                <w:ilvl w:val="0"/>
                <w:numId w:val="14"/>
              </w:numPr>
              <w:spacing w:after="120"/>
              <w:jc w:val="both"/>
              <w:rPr>
                <w:bCs/>
                <w:iCs/>
              </w:rPr>
            </w:pPr>
            <w:r w:rsidRPr="00D544DB">
              <w:rPr>
                <w:b/>
                <w:bCs/>
                <w:iCs/>
              </w:rPr>
              <w:t xml:space="preserve">100 pkt - </w:t>
            </w:r>
            <w:r w:rsidRPr="00D544DB">
              <w:rPr>
                <w:bCs/>
                <w:iCs/>
              </w:rPr>
              <w:t>za termin realizacji</w:t>
            </w:r>
            <w:r w:rsidRPr="00D544DB">
              <w:rPr>
                <w:b/>
                <w:bCs/>
                <w:iCs/>
              </w:rPr>
              <w:t xml:space="preserve"> 8 tygodni</w:t>
            </w:r>
            <w:r w:rsidRPr="00D544DB">
              <w:rPr>
                <w:bCs/>
                <w:iCs/>
              </w:rPr>
              <w:t xml:space="preserve"> od daty podpisania umowy</w:t>
            </w:r>
          </w:p>
          <w:p w:rsidR="00D544DB" w:rsidRPr="00D544DB" w:rsidRDefault="00D544DB" w:rsidP="00D544DB">
            <w:pPr>
              <w:spacing w:after="120"/>
              <w:jc w:val="both"/>
            </w:pPr>
            <w:r w:rsidRPr="00D544DB">
              <w:t xml:space="preserve">- </w:t>
            </w:r>
            <w:proofErr w:type="spellStart"/>
            <w:r w:rsidRPr="00D544DB">
              <w:t>Wt</w:t>
            </w:r>
            <w:proofErr w:type="spellEnd"/>
            <w:r w:rsidRPr="00D544DB">
              <w:t xml:space="preserve">  -  waga kryterium termin realizacji</w:t>
            </w:r>
          </w:p>
          <w:p w:rsidR="00D544DB" w:rsidRPr="00D544DB" w:rsidRDefault="00D544DB" w:rsidP="00D544DB">
            <w:pPr>
              <w:spacing w:after="160" w:line="252" w:lineRule="auto"/>
            </w:pPr>
            <w:r w:rsidRPr="00D544DB">
              <w:t xml:space="preserve">Zamawiający  za zrealizowane zamówienia w czasie krótszym aniżeli </w:t>
            </w:r>
            <w:r w:rsidRPr="00D544DB">
              <w:rPr>
                <w:b/>
              </w:rPr>
              <w:t>8 tygodni</w:t>
            </w:r>
            <w:r w:rsidRPr="00D544DB">
              <w:t xml:space="preserve"> od daty podpisania umowy</w:t>
            </w:r>
            <w:r w:rsidRPr="00D544DB">
              <w:rPr>
                <w:b/>
                <w:bCs/>
                <w:iCs/>
              </w:rPr>
              <w:t xml:space="preserve"> </w:t>
            </w:r>
            <w:r w:rsidRPr="00D544DB">
              <w:t>przyzna również maksymalnie 100 pkt</w:t>
            </w:r>
          </w:p>
          <w:p w:rsidR="00D544DB" w:rsidRPr="00D544DB" w:rsidRDefault="00D544DB" w:rsidP="00D544DB">
            <w:r w:rsidRPr="00D544DB">
              <w:t xml:space="preserve">Zamawiający  za zrealizowane zamówienia powyżej </w:t>
            </w:r>
            <w:r w:rsidRPr="00D544DB">
              <w:rPr>
                <w:b/>
              </w:rPr>
              <w:t>25 tygodni</w:t>
            </w:r>
            <w:r w:rsidRPr="00D544DB">
              <w:t xml:space="preserve"> od daty podpisania umowy odrzuci ofertę.</w:t>
            </w:r>
          </w:p>
          <w:p w:rsidR="00CC4EFB" w:rsidRPr="00D00463" w:rsidRDefault="00CC4EFB" w:rsidP="00D72B0F">
            <w:pPr>
              <w:spacing w:after="120"/>
            </w:pPr>
          </w:p>
        </w:tc>
      </w:tr>
    </w:tbl>
    <w:p w:rsidR="00CC4EFB" w:rsidRPr="00155C50" w:rsidRDefault="00CC4EFB" w:rsidP="00CC4EFB">
      <w:pPr>
        <w:numPr>
          <w:ilvl w:val="1"/>
          <w:numId w:val="1"/>
        </w:numPr>
        <w:spacing w:before="60"/>
        <w:jc w:val="both"/>
        <w:outlineLvl w:val="1"/>
        <w:rPr>
          <w:bCs/>
          <w:iCs/>
          <w:color w:val="000000"/>
        </w:rPr>
      </w:pPr>
      <w:r w:rsidRPr="00155C50">
        <w:rPr>
          <w:bCs/>
          <w:iCs/>
          <w:color w:val="000000"/>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CC4EFB" w:rsidRPr="00155C50" w:rsidRDefault="00CC4EFB" w:rsidP="00CC4EFB">
      <w:pPr>
        <w:numPr>
          <w:ilvl w:val="1"/>
          <w:numId w:val="1"/>
        </w:numPr>
        <w:spacing w:before="60"/>
        <w:jc w:val="both"/>
        <w:outlineLvl w:val="1"/>
        <w:rPr>
          <w:bCs/>
          <w:iCs/>
          <w:color w:val="000000"/>
        </w:rPr>
      </w:pPr>
      <w:r w:rsidRPr="00155C50">
        <w:rPr>
          <w:bCs/>
          <w:iCs/>
          <w:color w:val="000000"/>
        </w:rPr>
        <w:t>Wszystkie obliczenia będą dokonywane z dokładnością do dwóch miejsc po przecinku.</w:t>
      </w:r>
    </w:p>
    <w:p w:rsidR="00CC4EFB" w:rsidRPr="00155C50" w:rsidRDefault="00CC4EFB" w:rsidP="00CC4EFB">
      <w:pPr>
        <w:numPr>
          <w:ilvl w:val="1"/>
          <w:numId w:val="1"/>
        </w:numPr>
        <w:spacing w:before="60"/>
        <w:jc w:val="both"/>
        <w:outlineLvl w:val="1"/>
        <w:rPr>
          <w:bCs/>
          <w:iCs/>
          <w:color w:val="000000"/>
        </w:rPr>
      </w:pPr>
      <w:r w:rsidRPr="00155C50">
        <w:rPr>
          <w:bCs/>
          <w:iCs/>
          <w:color w:val="000000"/>
        </w:rPr>
        <w:t>W toku dokonywania badania i oceny ofert Zamawiający może żądać udzielenia przez Wykonawcę wyjaśnień treści złożonych przez niego ofert.</w:t>
      </w:r>
    </w:p>
    <w:p w:rsidR="00CC4EFB" w:rsidRPr="00155C50" w:rsidRDefault="00CC4EFB" w:rsidP="00CC4EFB">
      <w:pPr>
        <w:numPr>
          <w:ilvl w:val="1"/>
          <w:numId w:val="1"/>
        </w:numPr>
        <w:spacing w:before="60"/>
        <w:jc w:val="both"/>
        <w:outlineLvl w:val="1"/>
        <w:rPr>
          <w:bCs/>
          <w:iCs/>
          <w:color w:val="000000"/>
        </w:rPr>
      </w:pPr>
      <w:r w:rsidRPr="00155C50">
        <w:rPr>
          <w:bCs/>
          <w:iCs/>
          <w:color w:val="000000"/>
        </w:rPr>
        <w:t xml:space="preserve">Zgodnie z art. 87 ust. 2 prawa zamówień publicznych Zamawiający poprawi oczywiste omyłki pisarskie, oczywiste omyłki rachunkowe oraz inne omyłki polegające </w:t>
      </w:r>
      <w:r w:rsidRPr="00155C50">
        <w:rPr>
          <w:bCs/>
          <w:iCs/>
          <w:color w:val="000000"/>
        </w:rPr>
        <w:br/>
        <w:t xml:space="preserve">na niezgodności oferty ze specyfikacja istotnych warunków zamówienia, niepowodujące istotnych zmian w treści oferty. </w:t>
      </w:r>
    </w:p>
    <w:p w:rsidR="00CC4EFB" w:rsidRPr="004C6497" w:rsidRDefault="00CC4EFB" w:rsidP="00CC4EFB">
      <w:pPr>
        <w:numPr>
          <w:ilvl w:val="0"/>
          <w:numId w:val="3"/>
        </w:numPr>
        <w:spacing w:before="240" w:after="120"/>
        <w:jc w:val="both"/>
        <w:outlineLvl w:val="0"/>
        <w:rPr>
          <w:rFonts w:cs="Arial"/>
          <w:b/>
          <w:bCs/>
          <w:caps/>
          <w:kern w:val="32"/>
        </w:rPr>
      </w:pPr>
      <w:r w:rsidRPr="004C6497">
        <w:rPr>
          <w:rFonts w:cs="Arial"/>
          <w:b/>
          <w:bCs/>
          <w:caps/>
          <w:kern w:val="32"/>
        </w:rPr>
        <w:t>INFORMACJA O FORMALNOŚCIACH, JAKIE POWINNY ZOSTAĆ DOPEŁNIONE PO WYBORZE OFERTY W CELU ZAWARCIA UMOWY W SPRAWIE ZAMÓWIENIA PUBLICZNEGO</w:t>
      </w:r>
    </w:p>
    <w:p w:rsidR="00CC4EFB" w:rsidRPr="004C6497" w:rsidRDefault="00CC4EFB" w:rsidP="00CC4EFB">
      <w:pPr>
        <w:numPr>
          <w:ilvl w:val="1"/>
          <w:numId w:val="1"/>
        </w:numPr>
        <w:spacing w:before="60"/>
        <w:jc w:val="both"/>
        <w:outlineLvl w:val="1"/>
        <w:rPr>
          <w:bCs/>
          <w:iCs/>
          <w:color w:val="000000"/>
        </w:rPr>
      </w:pPr>
      <w:r w:rsidRPr="00155C50">
        <w:rPr>
          <w:bCs/>
          <w:iCs/>
          <w:color w:val="00000A"/>
          <w:lang w:eastAsia="zh-CN"/>
        </w:rPr>
        <w:t>Zamawiający po upływie terminu przewidzianego na wniesienie środków ochrony prawnej wezwie Wykonawcę celem podpisania umowy i wyznaczy termin na jej zawarcie.</w:t>
      </w:r>
    </w:p>
    <w:p w:rsidR="00CC4EFB" w:rsidRPr="00155C50" w:rsidRDefault="00CC4EFB" w:rsidP="00CC4EFB">
      <w:pPr>
        <w:numPr>
          <w:ilvl w:val="1"/>
          <w:numId w:val="1"/>
        </w:numPr>
        <w:spacing w:before="60"/>
        <w:jc w:val="both"/>
        <w:outlineLvl w:val="1"/>
        <w:rPr>
          <w:bCs/>
          <w:iCs/>
          <w:color w:val="000000"/>
        </w:rPr>
      </w:pPr>
      <w:r w:rsidRPr="00155C50">
        <w:rPr>
          <w:bCs/>
          <w:iCs/>
          <w:color w:val="000000"/>
          <w:lang w:eastAsia="zh-CN"/>
        </w:rPr>
        <w:lastRenderedPageBreak/>
        <w:t>Umowa zostanie zawarta zgodnie ze wzorem stanowiącym załącznik nr 3 do SIWZ.</w:t>
      </w:r>
    </w:p>
    <w:p w:rsidR="00CC4EFB" w:rsidRPr="00155C50" w:rsidRDefault="00CC4EFB" w:rsidP="00CC4EFB">
      <w:pPr>
        <w:numPr>
          <w:ilvl w:val="1"/>
          <w:numId w:val="1"/>
        </w:numPr>
        <w:spacing w:before="60"/>
        <w:jc w:val="both"/>
        <w:outlineLvl w:val="1"/>
        <w:rPr>
          <w:bCs/>
          <w:iCs/>
          <w:color w:val="000000"/>
        </w:rPr>
      </w:pPr>
      <w:r w:rsidRPr="00155C50">
        <w:rPr>
          <w:bCs/>
          <w:iCs/>
          <w:color w:val="000000"/>
          <w:lang w:eastAsia="zh-CN"/>
        </w:rPr>
        <w:t>Osoby reprezentujące wykonawcę przy podpisywaniu umowy powinny posiadać ze sobą dokumenty potwierdzające ich umocowanie do reprezentowania wykonawcy, o ile umocowanie to nie będzie wynikać z dokumentów załączonych do oferty.</w:t>
      </w:r>
    </w:p>
    <w:p w:rsidR="00CC4EFB" w:rsidRPr="00155C50" w:rsidRDefault="00CC4EFB" w:rsidP="00CC4EFB">
      <w:pPr>
        <w:numPr>
          <w:ilvl w:val="1"/>
          <w:numId w:val="1"/>
        </w:numPr>
        <w:spacing w:before="60"/>
        <w:jc w:val="both"/>
        <w:outlineLvl w:val="1"/>
        <w:rPr>
          <w:bCs/>
          <w:iCs/>
          <w:color w:val="000000"/>
        </w:rPr>
      </w:pPr>
      <w:r w:rsidRPr="00155C50">
        <w:rPr>
          <w:bCs/>
          <w:iCs/>
          <w:color w:val="000000"/>
          <w:lang w:eastAsia="zh-CN"/>
        </w:rPr>
        <w:t>W przypadku wyboru oferty Wykonawców wspólnie ubiegających się o udzielenie zamówienia (s.c.,  konsorcja), Zamawiający zwrócić się przed podpisaniem umowy o przedłożenie kopii umowy(-ów) określającej podstawy i zasady wspólnego ubiegania się o udzielenie zamówienia publicznego.</w:t>
      </w:r>
    </w:p>
    <w:p w:rsidR="00CC4EFB" w:rsidRPr="004C6497" w:rsidRDefault="00CC4EFB" w:rsidP="00CC4EFB">
      <w:pPr>
        <w:numPr>
          <w:ilvl w:val="1"/>
          <w:numId w:val="1"/>
        </w:numPr>
        <w:spacing w:before="60"/>
        <w:jc w:val="both"/>
        <w:outlineLvl w:val="1"/>
        <w:rPr>
          <w:bCs/>
          <w:iCs/>
          <w:color w:val="000000"/>
        </w:rPr>
      </w:pPr>
      <w:r w:rsidRPr="00155C50">
        <w:rPr>
          <w:bCs/>
          <w:iCs/>
          <w:color w:val="000000"/>
          <w:lang w:eastAsia="zh-CN"/>
        </w:rPr>
        <w:t>Wybrany Wykonawca jest zobowiązany do zawarcia umowy w terminie i miejscu wyznaczonym przez Zamawiającego.</w:t>
      </w:r>
    </w:p>
    <w:p w:rsidR="00CC4EFB" w:rsidRPr="00155C50" w:rsidRDefault="00CC4EFB" w:rsidP="00CC4EFB">
      <w:pPr>
        <w:numPr>
          <w:ilvl w:val="0"/>
          <w:numId w:val="3"/>
        </w:numPr>
        <w:spacing w:before="240" w:after="120"/>
        <w:jc w:val="both"/>
        <w:outlineLvl w:val="0"/>
        <w:rPr>
          <w:rFonts w:cs="Arial"/>
          <w:b/>
          <w:bCs/>
          <w:caps/>
          <w:kern w:val="32"/>
        </w:rPr>
      </w:pPr>
      <w:r w:rsidRPr="00155C50">
        <w:rPr>
          <w:rFonts w:cs="Arial"/>
          <w:b/>
          <w:caps/>
          <w:kern w:val="32"/>
        </w:rPr>
        <w:t xml:space="preserve">WYMAGANIA </w:t>
      </w:r>
      <w:r w:rsidRPr="00155C50">
        <w:rPr>
          <w:rFonts w:cs="Arial"/>
          <w:b/>
          <w:caps/>
          <w:kern w:val="32"/>
          <w:sz w:val="22"/>
          <w:szCs w:val="22"/>
        </w:rPr>
        <w:t>DOTYCZĄCE ZABEZPIECZENIA NALEŻYTEGO WYKONANIA UMOWY</w:t>
      </w:r>
    </w:p>
    <w:p w:rsidR="00CC4EFB" w:rsidRPr="00155C50" w:rsidRDefault="00CC4EFB" w:rsidP="00CC4EFB">
      <w:pPr>
        <w:tabs>
          <w:tab w:val="left" w:pos="708"/>
        </w:tabs>
        <w:spacing w:before="60" w:after="120"/>
        <w:ind w:left="644"/>
        <w:jc w:val="both"/>
        <w:outlineLvl w:val="1"/>
        <w:rPr>
          <w:bCs/>
          <w:iCs/>
          <w:color w:val="000000"/>
          <w:sz w:val="22"/>
          <w:szCs w:val="22"/>
        </w:rPr>
      </w:pPr>
      <w:r w:rsidRPr="00155C50">
        <w:t xml:space="preserve"> </w:t>
      </w:r>
      <w:r w:rsidRPr="00155C50">
        <w:rPr>
          <w:bCs/>
          <w:iCs/>
          <w:color w:val="000000"/>
          <w:sz w:val="22"/>
          <w:szCs w:val="22"/>
        </w:rPr>
        <w:t>W niniejszym postępowaniu zabezpieczenie należytego wykonania umowy nie obowiązuje.</w:t>
      </w:r>
    </w:p>
    <w:p w:rsidR="00CC4EFB" w:rsidRPr="00155C50" w:rsidRDefault="00CC4EFB" w:rsidP="00CC4EFB">
      <w:pPr>
        <w:numPr>
          <w:ilvl w:val="0"/>
          <w:numId w:val="3"/>
        </w:numPr>
        <w:spacing w:before="240" w:after="120"/>
        <w:jc w:val="both"/>
        <w:outlineLvl w:val="0"/>
        <w:rPr>
          <w:rFonts w:cs="Arial"/>
          <w:b/>
          <w:bCs/>
          <w:caps/>
          <w:kern w:val="32"/>
        </w:rPr>
      </w:pPr>
      <w:r w:rsidRPr="00155C50">
        <w:rPr>
          <w:rFonts w:cs="Arial"/>
          <w:b/>
          <w:bCs/>
          <w:caps/>
          <w:kern w:val="32"/>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C4EFB" w:rsidRPr="00155C50" w:rsidRDefault="00CC4EFB" w:rsidP="00CC4EFB">
      <w:pPr>
        <w:numPr>
          <w:ilvl w:val="1"/>
          <w:numId w:val="1"/>
        </w:numPr>
        <w:spacing w:before="60"/>
        <w:jc w:val="both"/>
        <w:outlineLvl w:val="1"/>
        <w:rPr>
          <w:bCs/>
          <w:iCs/>
          <w:color w:val="000000"/>
        </w:rPr>
      </w:pPr>
      <w:r w:rsidRPr="00155C50">
        <w:rPr>
          <w:bCs/>
          <w:iCs/>
          <w:color w:val="000000"/>
        </w:rPr>
        <w:t>Istotne postanowienia umowy określa wzór umowy stanowiący załącznik nr 3 do niniejszej Specyfikacji.</w:t>
      </w:r>
    </w:p>
    <w:p w:rsidR="00CC4EFB" w:rsidRPr="00155C50" w:rsidRDefault="00CC4EFB" w:rsidP="00CC4EFB">
      <w:pPr>
        <w:numPr>
          <w:ilvl w:val="0"/>
          <w:numId w:val="3"/>
        </w:numPr>
        <w:spacing w:before="240" w:after="120"/>
        <w:jc w:val="both"/>
        <w:outlineLvl w:val="0"/>
        <w:rPr>
          <w:rFonts w:cs="Arial"/>
          <w:kern w:val="32"/>
          <w:sz w:val="22"/>
          <w:szCs w:val="22"/>
        </w:rPr>
      </w:pPr>
      <w:r w:rsidRPr="00155C50">
        <w:rPr>
          <w:rFonts w:cs="Arial"/>
          <w:b/>
          <w:bCs/>
          <w:caps/>
          <w:kern w:val="32"/>
          <w:sz w:val="22"/>
          <w:szCs w:val="22"/>
        </w:rPr>
        <w:t>Pouczenie o środkach ochrony prawnej przysługujących wykonawcy w toku postępowania o udzielenie zamówienia publicznego:</w:t>
      </w:r>
    </w:p>
    <w:p w:rsidR="00CC4EFB" w:rsidRPr="00155C50" w:rsidRDefault="00CC4EFB" w:rsidP="00CC4EFB">
      <w:pPr>
        <w:numPr>
          <w:ilvl w:val="1"/>
          <w:numId w:val="3"/>
        </w:numPr>
        <w:spacing w:before="60"/>
        <w:jc w:val="both"/>
        <w:outlineLvl w:val="1"/>
        <w:rPr>
          <w:bCs/>
          <w:iCs/>
          <w:color w:val="000000"/>
        </w:rPr>
      </w:pPr>
      <w:r w:rsidRPr="00155C50">
        <w:rPr>
          <w:bCs/>
          <w:iCs/>
          <w:color w:val="000000"/>
          <w:sz w:val="22"/>
          <w:szCs w:val="22"/>
        </w:rPr>
        <w:t xml:space="preserve">Wykonawcy, a także innemu podmiotowi, jeżeli ma lub miał interes w uzyskaniu danego zamówienia oraz poniósł lub może ponieść szkodę w wyniku naruszenia przez Zamawiającego przepisów ustawy Prawo zamówień publicznych, na podstawie art. 180 ust. 2 ustawy przysługuje odwołanie wyłącznie wobec czynności: </w:t>
      </w:r>
    </w:p>
    <w:p w:rsidR="00CC4EFB" w:rsidRPr="00155C50" w:rsidRDefault="00CC4EFB" w:rsidP="00CC4EFB">
      <w:pPr>
        <w:numPr>
          <w:ilvl w:val="1"/>
          <w:numId w:val="3"/>
        </w:numPr>
        <w:spacing w:before="60"/>
        <w:jc w:val="both"/>
        <w:outlineLvl w:val="1"/>
        <w:rPr>
          <w:bCs/>
          <w:iCs/>
          <w:color w:val="000000"/>
        </w:rPr>
      </w:pPr>
      <w:r w:rsidRPr="00155C50">
        <w:rPr>
          <w:bCs/>
          <w:iCs/>
          <w:color w:val="000000"/>
          <w:sz w:val="22"/>
          <w:szCs w:val="22"/>
        </w:rPr>
        <w:t>W niniejszym postępowaniu odwołanie przysługuje wyłącznie wobec czynności:</w:t>
      </w:r>
    </w:p>
    <w:p w:rsidR="00CC4EFB" w:rsidRPr="00155C50" w:rsidRDefault="00CC4EFB" w:rsidP="00CC4EFB">
      <w:pPr>
        <w:numPr>
          <w:ilvl w:val="0"/>
          <w:numId w:val="9"/>
        </w:numPr>
        <w:spacing w:before="120" w:after="120"/>
        <w:ind w:left="1134" w:hanging="425"/>
        <w:rPr>
          <w:sz w:val="22"/>
          <w:szCs w:val="22"/>
        </w:rPr>
      </w:pPr>
      <w:r w:rsidRPr="00155C50">
        <w:rPr>
          <w:sz w:val="22"/>
          <w:szCs w:val="22"/>
        </w:rPr>
        <w:t>określenia warunków udziału w postępowaniu,</w:t>
      </w:r>
    </w:p>
    <w:p w:rsidR="00CC4EFB" w:rsidRPr="00155C50" w:rsidRDefault="00CC4EFB" w:rsidP="00CC4EFB">
      <w:pPr>
        <w:numPr>
          <w:ilvl w:val="0"/>
          <w:numId w:val="9"/>
        </w:numPr>
        <w:spacing w:before="120" w:after="120"/>
        <w:ind w:left="1134" w:hanging="425"/>
        <w:rPr>
          <w:sz w:val="22"/>
          <w:szCs w:val="22"/>
        </w:rPr>
      </w:pPr>
      <w:r w:rsidRPr="00155C50">
        <w:rPr>
          <w:sz w:val="22"/>
          <w:szCs w:val="22"/>
        </w:rPr>
        <w:t>wykluczenia odwołującego z postępowania,</w:t>
      </w:r>
    </w:p>
    <w:p w:rsidR="00CC4EFB" w:rsidRPr="00155C50" w:rsidRDefault="00CC4EFB" w:rsidP="00CC4EFB">
      <w:pPr>
        <w:numPr>
          <w:ilvl w:val="0"/>
          <w:numId w:val="9"/>
        </w:numPr>
        <w:spacing w:before="120" w:after="120"/>
        <w:ind w:left="1134" w:hanging="425"/>
        <w:rPr>
          <w:sz w:val="22"/>
          <w:szCs w:val="22"/>
        </w:rPr>
      </w:pPr>
      <w:r w:rsidRPr="00155C50">
        <w:rPr>
          <w:sz w:val="22"/>
          <w:szCs w:val="22"/>
        </w:rPr>
        <w:t>odrzucenia oferty odwołującego,</w:t>
      </w:r>
    </w:p>
    <w:p w:rsidR="00CC4EFB" w:rsidRPr="00155C50" w:rsidRDefault="00CC4EFB" w:rsidP="00CC4EFB">
      <w:pPr>
        <w:numPr>
          <w:ilvl w:val="0"/>
          <w:numId w:val="9"/>
        </w:numPr>
        <w:spacing w:before="120" w:after="120"/>
        <w:ind w:left="1134" w:hanging="425"/>
        <w:rPr>
          <w:sz w:val="22"/>
          <w:szCs w:val="22"/>
        </w:rPr>
      </w:pPr>
      <w:r w:rsidRPr="00155C50">
        <w:rPr>
          <w:sz w:val="22"/>
          <w:szCs w:val="22"/>
        </w:rPr>
        <w:t>opis przedmiotu zamówienia,</w:t>
      </w:r>
    </w:p>
    <w:p w:rsidR="00CC4EFB" w:rsidRPr="004C6497" w:rsidRDefault="00CC4EFB" w:rsidP="00CC4EFB">
      <w:pPr>
        <w:numPr>
          <w:ilvl w:val="0"/>
          <w:numId w:val="9"/>
        </w:numPr>
        <w:spacing w:before="120" w:after="120"/>
        <w:ind w:left="1134" w:hanging="425"/>
        <w:rPr>
          <w:sz w:val="22"/>
          <w:szCs w:val="22"/>
        </w:rPr>
      </w:pPr>
      <w:r w:rsidRPr="00155C50">
        <w:rPr>
          <w:sz w:val="22"/>
          <w:szCs w:val="22"/>
        </w:rPr>
        <w:t>wyboru najkorzystniejszej oferty.</w:t>
      </w:r>
    </w:p>
    <w:p w:rsidR="00CC4EFB" w:rsidRPr="00155C50" w:rsidRDefault="00CC4EFB" w:rsidP="00CC4EFB">
      <w:pPr>
        <w:numPr>
          <w:ilvl w:val="1"/>
          <w:numId w:val="3"/>
        </w:numPr>
        <w:spacing w:before="60"/>
        <w:jc w:val="both"/>
        <w:outlineLvl w:val="1"/>
        <w:rPr>
          <w:bCs/>
          <w:iCs/>
          <w:color w:val="000000"/>
        </w:rPr>
      </w:pPr>
      <w:r w:rsidRPr="00155C50">
        <w:rPr>
          <w:bCs/>
          <w:iCs/>
          <w:color w:val="000000"/>
          <w:sz w:val="22"/>
          <w:szCs w:val="22"/>
        </w:rPr>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155C50">
        <w:rPr>
          <w:bCs/>
          <w:iCs/>
          <w:color w:val="000000"/>
          <w:sz w:val="22"/>
          <w:szCs w:val="22"/>
        </w:rPr>
        <w:t>Pzp</w:t>
      </w:r>
      <w:proofErr w:type="spellEnd"/>
      <w:r w:rsidRPr="00155C50">
        <w:rPr>
          <w:bCs/>
          <w:iCs/>
          <w:color w:val="000000"/>
          <w:sz w:val="22"/>
          <w:szCs w:val="22"/>
        </w:rPr>
        <w:t>.</w:t>
      </w:r>
    </w:p>
    <w:p w:rsidR="00CC4EFB" w:rsidRPr="00155C50" w:rsidRDefault="00CC4EFB" w:rsidP="00CC4EFB">
      <w:pPr>
        <w:numPr>
          <w:ilvl w:val="0"/>
          <w:numId w:val="3"/>
        </w:numPr>
        <w:spacing w:before="240" w:after="120"/>
        <w:jc w:val="both"/>
        <w:outlineLvl w:val="0"/>
        <w:rPr>
          <w:rFonts w:cs="Arial"/>
          <w:b/>
          <w:bCs/>
          <w:caps/>
          <w:kern w:val="32"/>
        </w:rPr>
      </w:pPr>
      <w:r w:rsidRPr="00155C50">
        <w:rPr>
          <w:rFonts w:cs="Arial"/>
          <w:b/>
          <w:bCs/>
          <w:caps/>
          <w:kern w:val="32"/>
          <w:sz w:val="22"/>
          <w:szCs w:val="22"/>
        </w:rPr>
        <w:t>Informacje dodatkowe:</w:t>
      </w:r>
    </w:p>
    <w:p w:rsidR="00CC4EFB" w:rsidRPr="00155C50" w:rsidRDefault="00CC4EFB" w:rsidP="00CC4EFB">
      <w:pPr>
        <w:numPr>
          <w:ilvl w:val="1"/>
          <w:numId w:val="1"/>
        </w:numPr>
        <w:spacing w:before="60"/>
        <w:jc w:val="both"/>
        <w:outlineLvl w:val="1"/>
        <w:rPr>
          <w:bCs/>
          <w:iCs/>
          <w:color w:val="000000"/>
        </w:rPr>
      </w:pPr>
      <w:r w:rsidRPr="00155C50">
        <w:rPr>
          <w:bCs/>
          <w:iCs/>
          <w:color w:val="000000"/>
          <w:sz w:val="22"/>
          <w:szCs w:val="22"/>
        </w:rPr>
        <w:t xml:space="preserve">Zamawiający nie przewiduje zawarcia umowy ramowej. </w:t>
      </w:r>
    </w:p>
    <w:p w:rsidR="00CC4EFB" w:rsidRPr="00155C50" w:rsidRDefault="00CC4EFB" w:rsidP="00CC4EFB">
      <w:pPr>
        <w:numPr>
          <w:ilvl w:val="1"/>
          <w:numId w:val="1"/>
        </w:numPr>
        <w:spacing w:before="60"/>
        <w:jc w:val="both"/>
        <w:outlineLvl w:val="1"/>
        <w:rPr>
          <w:bCs/>
          <w:iCs/>
          <w:color w:val="000000"/>
        </w:rPr>
      </w:pPr>
      <w:r w:rsidRPr="00155C50">
        <w:rPr>
          <w:bCs/>
          <w:iCs/>
          <w:color w:val="000000"/>
          <w:sz w:val="22"/>
          <w:szCs w:val="22"/>
        </w:rPr>
        <w:t xml:space="preserve">Zamawiający nie przewiduje dokonania wyboru oferty najkorzystniejszej z wykorzystaniem aukcji elektronicznej. </w:t>
      </w:r>
    </w:p>
    <w:p w:rsidR="00CC4EFB" w:rsidRPr="00155C50" w:rsidRDefault="00CC4EFB" w:rsidP="00CC4EFB">
      <w:pPr>
        <w:numPr>
          <w:ilvl w:val="1"/>
          <w:numId w:val="1"/>
        </w:numPr>
        <w:spacing w:before="60"/>
        <w:jc w:val="both"/>
        <w:outlineLvl w:val="1"/>
        <w:rPr>
          <w:bCs/>
          <w:iCs/>
          <w:color w:val="000000"/>
        </w:rPr>
      </w:pPr>
      <w:r w:rsidRPr="00155C50">
        <w:rPr>
          <w:bCs/>
          <w:iCs/>
          <w:color w:val="000000"/>
          <w:sz w:val="22"/>
          <w:szCs w:val="22"/>
        </w:rPr>
        <w:t xml:space="preserve">Zamawiający nie przewiduje ustanowienia dynamicznego systemu zakupów. </w:t>
      </w:r>
    </w:p>
    <w:p w:rsidR="00CC4EFB" w:rsidRPr="00155C50" w:rsidRDefault="00CC4EFB" w:rsidP="00CC4EFB">
      <w:pPr>
        <w:numPr>
          <w:ilvl w:val="1"/>
          <w:numId w:val="1"/>
        </w:numPr>
        <w:spacing w:before="60"/>
        <w:jc w:val="both"/>
        <w:outlineLvl w:val="1"/>
        <w:rPr>
          <w:bCs/>
          <w:iCs/>
          <w:color w:val="000000"/>
        </w:rPr>
      </w:pPr>
      <w:r w:rsidRPr="00155C50">
        <w:rPr>
          <w:bCs/>
          <w:iCs/>
          <w:color w:val="000000"/>
          <w:sz w:val="22"/>
          <w:szCs w:val="22"/>
        </w:rPr>
        <w:lastRenderedPageBreak/>
        <w:t xml:space="preserve">Zamawiający nie dopuszcza możliwości złożenia oferty w postaci katalogów elektronicznych lub dołączenia katalogów elektronicznych do oferty. </w:t>
      </w:r>
    </w:p>
    <w:p w:rsidR="00CC4EFB" w:rsidRPr="00155C50" w:rsidRDefault="00CC4EFB" w:rsidP="00CC4EFB">
      <w:pPr>
        <w:numPr>
          <w:ilvl w:val="1"/>
          <w:numId w:val="1"/>
        </w:numPr>
        <w:spacing w:before="60"/>
        <w:jc w:val="both"/>
        <w:outlineLvl w:val="1"/>
        <w:rPr>
          <w:bCs/>
          <w:iCs/>
          <w:color w:val="000000"/>
        </w:rPr>
      </w:pPr>
      <w:r w:rsidRPr="00155C50">
        <w:rPr>
          <w:bCs/>
          <w:iCs/>
          <w:color w:val="000000"/>
          <w:sz w:val="22"/>
          <w:szCs w:val="22"/>
        </w:rPr>
        <w:t xml:space="preserve">Zamawiający nie przeprowadził dialogu technicznego przed wszczęciem postępowania. </w:t>
      </w:r>
    </w:p>
    <w:p w:rsidR="00CC4EFB" w:rsidRPr="00155C50" w:rsidRDefault="00CC4EFB" w:rsidP="00CC4EFB">
      <w:pPr>
        <w:numPr>
          <w:ilvl w:val="1"/>
          <w:numId w:val="1"/>
        </w:numPr>
        <w:spacing w:before="60"/>
        <w:jc w:val="both"/>
        <w:outlineLvl w:val="1"/>
        <w:rPr>
          <w:bCs/>
          <w:iCs/>
          <w:color w:val="000000"/>
        </w:rPr>
      </w:pPr>
      <w:r w:rsidRPr="00155C50">
        <w:rPr>
          <w:bCs/>
          <w:iCs/>
          <w:color w:val="000000"/>
          <w:sz w:val="22"/>
          <w:szCs w:val="22"/>
        </w:rPr>
        <w:t xml:space="preserve">Rozliczenia finansowe między Zamawiającym a Wykonawcą dokonywane będą w polskich złotych. </w:t>
      </w:r>
    </w:p>
    <w:p w:rsidR="00CC4EFB" w:rsidRPr="00155C50" w:rsidRDefault="00CC4EFB" w:rsidP="00CC4EFB">
      <w:pPr>
        <w:numPr>
          <w:ilvl w:val="1"/>
          <w:numId w:val="1"/>
        </w:numPr>
        <w:spacing w:before="60"/>
        <w:jc w:val="both"/>
        <w:outlineLvl w:val="1"/>
        <w:rPr>
          <w:bCs/>
          <w:iCs/>
          <w:color w:val="000000"/>
        </w:rPr>
      </w:pPr>
      <w:r w:rsidRPr="00155C50">
        <w:rPr>
          <w:bCs/>
          <w:iCs/>
          <w:color w:val="000000"/>
          <w:sz w:val="22"/>
          <w:szCs w:val="22"/>
        </w:rPr>
        <w:t xml:space="preserve">Zamawiający nie przewiduje udzielania zaliczek na poczet wykonania zamówienia. </w:t>
      </w:r>
    </w:p>
    <w:p w:rsidR="00CC4EFB" w:rsidRPr="00155C50" w:rsidRDefault="00CC4EFB" w:rsidP="00CC4EFB">
      <w:pPr>
        <w:numPr>
          <w:ilvl w:val="1"/>
          <w:numId w:val="1"/>
        </w:numPr>
        <w:spacing w:before="60"/>
        <w:jc w:val="both"/>
        <w:outlineLvl w:val="1"/>
        <w:rPr>
          <w:bCs/>
          <w:iCs/>
          <w:color w:val="000000"/>
        </w:rPr>
      </w:pPr>
      <w:r w:rsidRPr="00155C50">
        <w:rPr>
          <w:bCs/>
          <w:iCs/>
          <w:color w:val="000000"/>
          <w:sz w:val="22"/>
          <w:szCs w:val="22"/>
        </w:rPr>
        <w:t xml:space="preserve">Zamawiający nie przewiduje zwrotu kosztów udziału w postępowaniu. Wszelkie koszty związane z przygotowaniem i złożeniem oferty ponosi Wykonawca. </w:t>
      </w:r>
    </w:p>
    <w:p w:rsidR="00CC4EFB" w:rsidRPr="00155C50" w:rsidRDefault="00CC4EFB" w:rsidP="00CC4EFB">
      <w:pPr>
        <w:numPr>
          <w:ilvl w:val="1"/>
          <w:numId w:val="1"/>
        </w:numPr>
        <w:spacing w:before="60"/>
        <w:jc w:val="both"/>
        <w:outlineLvl w:val="1"/>
        <w:rPr>
          <w:bCs/>
          <w:iCs/>
          <w:color w:val="000000"/>
        </w:rPr>
      </w:pPr>
      <w:r w:rsidRPr="00155C50">
        <w:rPr>
          <w:bCs/>
          <w:iCs/>
          <w:color w:val="000000"/>
          <w:sz w:val="22"/>
          <w:szCs w:val="22"/>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155C50">
        <w:rPr>
          <w:bCs/>
          <w:iCs/>
          <w:color w:val="000000"/>
          <w:sz w:val="22"/>
          <w:szCs w:val="22"/>
        </w:rPr>
        <w:t>Pzp</w:t>
      </w:r>
      <w:proofErr w:type="spellEnd"/>
      <w:r w:rsidRPr="00155C50">
        <w:rPr>
          <w:bCs/>
          <w:iCs/>
          <w:color w:val="000000"/>
          <w:sz w:val="22"/>
          <w:szCs w:val="22"/>
        </w:rPr>
        <w:t>.</w:t>
      </w:r>
      <w:r w:rsidRPr="00155C50">
        <w:rPr>
          <w:bCs/>
          <w:iCs/>
          <w:color w:val="FF0000"/>
          <w:sz w:val="22"/>
          <w:szCs w:val="22"/>
        </w:rPr>
        <w:t xml:space="preserve"> </w:t>
      </w:r>
    </w:p>
    <w:p w:rsidR="00CC4EFB" w:rsidRPr="00155C50" w:rsidRDefault="00CC4EFB" w:rsidP="00CC4EFB">
      <w:pPr>
        <w:numPr>
          <w:ilvl w:val="0"/>
          <w:numId w:val="3"/>
        </w:numPr>
        <w:spacing w:before="240" w:after="120"/>
        <w:jc w:val="both"/>
        <w:outlineLvl w:val="0"/>
        <w:rPr>
          <w:rFonts w:cs="Arial"/>
          <w:b/>
          <w:bCs/>
          <w:caps/>
          <w:kern w:val="32"/>
        </w:rPr>
      </w:pPr>
      <w:r w:rsidRPr="00155C50">
        <w:rPr>
          <w:rFonts w:cs="Arial"/>
          <w:b/>
          <w:bCs/>
          <w:caps/>
          <w:kern w:val="32"/>
        </w:rPr>
        <w:t>postanowienia końcowe:</w:t>
      </w:r>
    </w:p>
    <w:p w:rsidR="00CC4EFB" w:rsidRPr="00155C50" w:rsidRDefault="00CC4EFB" w:rsidP="00CC4EFB">
      <w:pPr>
        <w:numPr>
          <w:ilvl w:val="1"/>
          <w:numId w:val="1"/>
        </w:numPr>
        <w:spacing w:before="60"/>
        <w:jc w:val="both"/>
        <w:outlineLvl w:val="1"/>
        <w:rPr>
          <w:bCs/>
          <w:iCs/>
          <w:color w:val="000000"/>
        </w:rPr>
      </w:pPr>
      <w:r w:rsidRPr="00155C50">
        <w:rPr>
          <w:bCs/>
          <w:iCs/>
          <w:color w:val="000000"/>
          <w:sz w:val="22"/>
          <w:szCs w:val="22"/>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155C50">
        <w:rPr>
          <w:bCs/>
          <w:iCs/>
          <w:color w:val="000000"/>
          <w:sz w:val="22"/>
          <w:szCs w:val="22"/>
        </w:rPr>
        <w:t>Pzp</w:t>
      </w:r>
      <w:proofErr w:type="spellEnd"/>
      <w:r w:rsidRPr="00155C50">
        <w:rPr>
          <w:bCs/>
          <w:iCs/>
          <w:color w:val="000000"/>
          <w:sz w:val="22"/>
          <w:szCs w:val="22"/>
        </w:rPr>
        <w:t>.</w:t>
      </w:r>
      <w:r w:rsidRPr="00155C50">
        <w:rPr>
          <w:bCs/>
          <w:iCs/>
          <w:color w:val="FF0000"/>
          <w:sz w:val="22"/>
          <w:szCs w:val="22"/>
        </w:rPr>
        <w:t xml:space="preserve"> </w:t>
      </w:r>
    </w:p>
    <w:p w:rsidR="00CC4EFB" w:rsidRPr="00155C50" w:rsidRDefault="00CC4EFB" w:rsidP="00CC4EFB">
      <w:pPr>
        <w:numPr>
          <w:ilvl w:val="1"/>
          <w:numId w:val="1"/>
        </w:numPr>
        <w:spacing w:before="60"/>
        <w:jc w:val="both"/>
        <w:outlineLvl w:val="1"/>
        <w:rPr>
          <w:bCs/>
          <w:iCs/>
          <w:color w:val="000000"/>
        </w:rPr>
      </w:pPr>
      <w:r w:rsidRPr="00155C50">
        <w:rPr>
          <w:bCs/>
          <w:iCs/>
          <w:color w:val="000000"/>
          <w:sz w:val="22"/>
          <w:szCs w:val="22"/>
        </w:rPr>
        <w:t>W sprawach nieuregulowanych w niniejszej SIWZ</w:t>
      </w:r>
      <w:r w:rsidRPr="00155C50">
        <w:rPr>
          <w:bCs/>
          <w:iCs/>
          <w:color w:val="FF0000"/>
          <w:sz w:val="22"/>
          <w:szCs w:val="22"/>
        </w:rPr>
        <w:t xml:space="preserve"> </w:t>
      </w:r>
      <w:r w:rsidRPr="00155C50">
        <w:rPr>
          <w:bCs/>
          <w:iCs/>
          <w:color w:val="000000"/>
          <w:sz w:val="22"/>
          <w:szCs w:val="22"/>
        </w:rPr>
        <w:t xml:space="preserve">zastosowanie mają przepisy ustawy z dnia 29 stycznia 2004 r. Prawo zamówień publicznych.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155C50">
        <w:rPr>
          <w:bCs/>
          <w:iCs/>
          <w:color w:val="000000"/>
          <w:sz w:val="22"/>
          <w:szCs w:val="22"/>
        </w:rPr>
        <w:br/>
        <w:t xml:space="preserve">o ochronie danych) (Dz. Urz. UE L 119 z 04.05.2016, str. 1), dalej "RODO", informuję, że: </w:t>
      </w:r>
    </w:p>
    <w:p w:rsidR="00CC4EFB" w:rsidRPr="00155C50" w:rsidRDefault="00CC4EFB" w:rsidP="00CC4EFB">
      <w:pPr>
        <w:numPr>
          <w:ilvl w:val="0"/>
          <w:numId w:val="11"/>
        </w:numPr>
        <w:ind w:left="993" w:hanging="284"/>
        <w:jc w:val="both"/>
        <w:rPr>
          <w:sz w:val="22"/>
          <w:szCs w:val="22"/>
        </w:rPr>
      </w:pPr>
      <w:r w:rsidRPr="00155C50">
        <w:rPr>
          <w:sz w:val="22"/>
          <w:szCs w:val="22"/>
        </w:rPr>
        <w:t>administratorem Pani/Pana danych osobowych jest Akademia Górniczo-Hutnicza im. Stanisława Staszica w Krakowie, al. Mickiewicza 30, 30-059 Kraków;</w:t>
      </w:r>
    </w:p>
    <w:p w:rsidR="00CC4EFB" w:rsidRPr="00155C50" w:rsidRDefault="00CC4EFB" w:rsidP="00CC4EFB">
      <w:pPr>
        <w:numPr>
          <w:ilvl w:val="0"/>
          <w:numId w:val="11"/>
        </w:numPr>
        <w:ind w:left="993" w:hanging="284"/>
        <w:jc w:val="both"/>
        <w:rPr>
          <w:sz w:val="22"/>
          <w:szCs w:val="22"/>
        </w:rPr>
      </w:pPr>
      <w:r w:rsidRPr="00155C50">
        <w:rPr>
          <w:sz w:val="22"/>
          <w:szCs w:val="22"/>
        </w:rPr>
        <w:t>z inspektorem ochrony danych osobowych w Akademii Górniczo-Hutniczej im. Stanisława Staszica można skontaktować się przez adres e-mail: iodo@agh.edu.pl, telefon: (12) 617 53 25  lub pisemnie na adres siedziby administratora;</w:t>
      </w:r>
    </w:p>
    <w:p w:rsidR="00CC4EFB" w:rsidRPr="00155C50" w:rsidRDefault="00CC4EFB" w:rsidP="00253E99">
      <w:pPr>
        <w:numPr>
          <w:ilvl w:val="0"/>
          <w:numId w:val="11"/>
        </w:numPr>
        <w:jc w:val="both"/>
        <w:rPr>
          <w:sz w:val="22"/>
          <w:szCs w:val="22"/>
        </w:rPr>
      </w:pPr>
      <w:r w:rsidRPr="00155C50">
        <w:rPr>
          <w:sz w:val="22"/>
          <w:szCs w:val="22"/>
        </w:rPr>
        <w:t xml:space="preserve">Pani/Pana dane osobowe przetwarzane będą na podstawie art. 6 ust. 1 lit. c RODO w celu związanym z postępowaniem o udzielenie zamówienia publicznego pod nazwą </w:t>
      </w:r>
      <w:r w:rsidR="00253E99">
        <w:rPr>
          <w:b/>
          <w:sz w:val="22"/>
          <w:szCs w:val="22"/>
        </w:rPr>
        <w:t>d</w:t>
      </w:r>
      <w:r w:rsidR="00253E99" w:rsidRPr="00253E99">
        <w:rPr>
          <w:b/>
          <w:sz w:val="22"/>
          <w:szCs w:val="22"/>
        </w:rPr>
        <w:t xml:space="preserve">ostawa spektrometru fluorescencji rentgenowskiej z dyspersją falową (WD-XRF) do ilościowej analizy składu pierwiastkowego próbek stałych oraz ciekłych dla </w:t>
      </w:r>
      <w:proofErr w:type="spellStart"/>
      <w:r w:rsidR="00253E99" w:rsidRPr="00253E99">
        <w:rPr>
          <w:b/>
          <w:sz w:val="22"/>
          <w:szCs w:val="22"/>
        </w:rPr>
        <w:t>ACMiN</w:t>
      </w:r>
      <w:proofErr w:type="spellEnd"/>
      <w:r w:rsidR="00253E99" w:rsidRPr="00253E99">
        <w:rPr>
          <w:b/>
          <w:sz w:val="22"/>
          <w:szCs w:val="22"/>
        </w:rPr>
        <w:t xml:space="preserve"> AGH - KC-zp.272-554/19</w:t>
      </w:r>
      <w:r w:rsidRPr="00155C50">
        <w:t xml:space="preserve"> </w:t>
      </w:r>
      <w:r w:rsidRPr="00155C50">
        <w:rPr>
          <w:sz w:val="22"/>
          <w:szCs w:val="22"/>
        </w:rPr>
        <w:t xml:space="preserve">prowadzonym w trybie przetargu nieograniczonego </w:t>
      </w:r>
      <w:r w:rsidR="00253E99">
        <w:rPr>
          <w:b/>
          <w:sz w:val="22"/>
          <w:szCs w:val="22"/>
        </w:rPr>
        <w:t>KC-</w:t>
      </w:r>
      <w:proofErr w:type="spellStart"/>
      <w:r w:rsidR="00253E99">
        <w:rPr>
          <w:b/>
          <w:sz w:val="22"/>
          <w:szCs w:val="22"/>
        </w:rPr>
        <w:t>zp</w:t>
      </w:r>
      <w:proofErr w:type="spellEnd"/>
      <w:r w:rsidR="00253E99">
        <w:rPr>
          <w:b/>
          <w:sz w:val="22"/>
          <w:szCs w:val="22"/>
        </w:rPr>
        <w:t>. 272-554</w:t>
      </w:r>
      <w:r w:rsidRPr="00155C50">
        <w:rPr>
          <w:b/>
          <w:sz w:val="22"/>
          <w:szCs w:val="22"/>
        </w:rPr>
        <w:t>/19</w:t>
      </w:r>
      <w:r w:rsidRPr="00155C50">
        <w:rPr>
          <w:b/>
        </w:rPr>
        <w:t xml:space="preserve"> </w:t>
      </w:r>
      <w:r w:rsidRPr="00155C50">
        <w:rPr>
          <w:sz w:val="22"/>
          <w:szCs w:val="22"/>
        </w:rPr>
        <w:t>;</w:t>
      </w:r>
    </w:p>
    <w:p w:rsidR="00CC4EFB" w:rsidRPr="00155C50" w:rsidRDefault="00CC4EFB" w:rsidP="00CC4EFB">
      <w:pPr>
        <w:numPr>
          <w:ilvl w:val="0"/>
          <w:numId w:val="11"/>
        </w:numPr>
        <w:ind w:left="993" w:hanging="284"/>
        <w:jc w:val="both"/>
        <w:rPr>
          <w:sz w:val="22"/>
          <w:szCs w:val="22"/>
        </w:rPr>
      </w:pPr>
      <w:r w:rsidRPr="00155C50">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155C50">
        <w:rPr>
          <w:sz w:val="22"/>
          <w:szCs w:val="22"/>
        </w:rPr>
        <w:t>Pzp</w:t>
      </w:r>
      <w:proofErr w:type="spellEnd"/>
      <w:r w:rsidRPr="00155C50">
        <w:rPr>
          <w:sz w:val="22"/>
          <w:szCs w:val="22"/>
        </w:rPr>
        <w:t xml:space="preserve">";  </w:t>
      </w:r>
    </w:p>
    <w:p w:rsidR="00CC4EFB" w:rsidRPr="00155C50" w:rsidRDefault="00CC4EFB" w:rsidP="00CC4EFB">
      <w:pPr>
        <w:numPr>
          <w:ilvl w:val="0"/>
          <w:numId w:val="11"/>
        </w:numPr>
        <w:ind w:left="993" w:hanging="284"/>
        <w:jc w:val="both"/>
        <w:rPr>
          <w:sz w:val="22"/>
          <w:szCs w:val="22"/>
        </w:rPr>
      </w:pPr>
      <w:r w:rsidRPr="00155C50">
        <w:t>Pani/Pana dane osobowe będą przechowywane przez okres:</w:t>
      </w:r>
      <w:r w:rsidRPr="00155C50">
        <w:br/>
        <w:t>- 4 lat od dnia zakończenia postępowania o udzielenie zamówienia publicznego, albo przez okres dłuższy jeżeli wynika to z regulacji wewnętrznych danej Jednostki,</w:t>
      </w:r>
      <w:r w:rsidRPr="00155C50">
        <w:br/>
        <w:t>- jeżeli czas trwania umowy przekracza 4 lata - przez cały czas trwania umowy,</w:t>
      </w:r>
      <w:r w:rsidRPr="00155C50">
        <w:br/>
        <w:t>- w przypadku zamówień współfinansowanych ze środków UE przez okres, o którym mowa</w:t>
      </w:r>
      <w:r w:rsidRPr="00155C50">
        <w:br/>
        <w:t>w art. 125 ust. 4 lit. d) w zw. z art. 140 rozporządzenia nr 1303/2013.</w:t>
      </w:r>
    </w:p>
    <w:p w:rsidR="00CC4EFB" w:rsidRPr="00155C50" w:rsidRDefault="00CC4EFB" w:rsidP="00CC4EFB">
      <w:pPr>
        <w:numPr>
          <w:ilvl w:val="0"/>
          <w:numId w:val="11"/>
        </w:numPr>
        <w:ind w:left="993" w:hanging="284"/>
        <w:jc w:val="both"/>
        <w:rPr>
          <w:sz w:val="22"/>
          <w:szCs w:val="22"/>
        </w:rPr>
      </w:pPr>
      <w:r w:rsidRPr="00155C50">
        <w:rPr>
          <w:sz w:val="22"/>
          <w:szCs w:val="22"/>
        </w:rPr>
        <w:t xml:space="preserve">obowiązek podania przez Panią/Pana danych osobowych bezpośrednio Pani/Pana dotyczących jest wymogiem ustawowym określonym w przepisach ustawy </w:t>
      </w:r>
      <w:proofErr w:type="spellStart"/>
      <w:r w:rsidRPr="00155C50">
        <w:rPr>
          <w:sz w:val="22"/>
          <w:szCs w:val="22"/>
        </w:rPr>
        <w:t>Pzp</w:t>
      </w:r>
      <w:proofErr w:type="spellEnd"/>
      <w:r w:rsidRPr="00155C50">
        <w:rPr>
          <w:sz w:val="22"/>
          <w:szCs w:val="22"/>
        </w:rPr>
        <w:t xml:space="preserve">, związanym z udziałem w postępowaniu o udzielenie zamówienia publicznego; konsekwencje niepodania określonych danych wynikają z ustawy </w:t>
      </w:r>
      <w:proofErr w:type="spellStart"/>
      <w:r w:rsidRPr="00155C50">
        <w:rPr>
          <w:sz w:val="22"/>
          <w:szCs w:val="22"/>
        </w:rPr>
        <w:t>Pzp</w:t>
      </w:r>
      <w:proofErr w:type="spellEnd"/>
      <w:r w:rsidRPr="00155C50">
        <w:rPr>
          <w:sz w:val="22"/>
          <w:szCs w:val="22"/>
        </w:rPr>
        <w:t xml:space="preserve">;  </w:t>
      </w:r>
    </w:p>
    <w:p w:rsidR="00CC4EFB" w:rsidRPr="00155C50" w:rsidRDefault="00CC4EFB" w:rsidP="00CC4EFB">
      <w:pPr>
        <w:numPr>
          <w:ilvl w:val="0"/>
          <w:numId w:val="11"/>
        </w:numPr>
        <w:ind w:left="993" w:hanging="284"/>
        <w:jc w:val="both"/>
        <w:rPr>
          <w:sz w:val="22"/>
          <w:szCs w:val="22"/>
        </w:rPr>
      </w:pPr>
      <w:r w:rsidRPr="00155C50">
        <w:rPr>
          <w:sz w:val="22"/>
          <w:szCs w:val="22"/>
        </w:rPr>
        <w:t>w odniesieniu do Pani/Pana danych osobowych decyzje nie będą podejmowane w sposób zautomatyzowany, stosowanie do art. 22 RODO;</w:t>
      </w:r>
    </w:p>
    <w:p w:rsidR="00CC4EFB" w:rsidRPr="00155C50" w:rsidRDefault="00CC4EFB" w:rsidP="00CC4EFB">
      <w:pPr>
        <w:numPr>
          <w:ilvl w:val="0"/>
          <w:numId w:val="11"/>
        </w:numPr>
        <w:ind w:left="993" w:hanging="284"/>
        <w:jc w:val="both"/>
        <w:rPr>
          <w:sz w:val="22"/>
          <w:szCs w:val="22"/>
        </w:rPr>
      </w:pPr>
      <w:r w:rsidRPr="00155C50">
        <w:rPr>
          <w:sz w:val="22"/>
          <w:szCs w:val="22"/>
        </w:rPr>
        <w:t>posiada Pani/Pan:</w:t>
      </w:r>
    </w:p>
    <w:p w:rsidR="00CC4EFB" w:rsidRPr="00155C50" w:rsidRDefault="00CC4EFB" w:rsidP="00CC4EFB">
      <w:pPr>
        <w:ind w:left="1134" w:hanging="141"/>
        <w:jc w:val="both"/>
        <w:rPr>
          <w:sz w:val="22"/>
          <w:szCs w:val="22"/>
        </w:rPr>
      </w:pPr>
      <w:r w:rsidRPr="00155C50">
        <w:rPr>
          <w:sz w:val="22"/>
          <w:szCs w:val="22"/>
        </w:rPr>
        <w:t>- na podstawie art. 15 RODO prawo dostępu do danych osobowych Pani/Pana dotyczących;</w:t>
      </w:r>
    </w:p>
    <w:p w:rsidR="00CC4EFB" w:rsidRPr="00155C50" w:rsidRDefault="00CC4EFB" w:rsidP="00CC4EFB">
      <w:pPr>
        <w:ind w:left="1134" w:hanging="141"/>
        <w:jc w:val="both"/>
        <w:rPr>
          <w:sz w:val="22"/>
          <w:szCs w:val="22"/>
        </w:rPr>
      </w:pPr>
      <w:r w:rsidRPr="00155C50">
        <w:rPr>
          <w:sz w:val="22"/>
          <w:szCs w:val="22"/>
        </w:rPr>
        <w:lastRenderedPageBreak/>
        <w:t xml:space="preserve">- na podstawie art. 16 RODO prawo do sprostowania Pani/Pana danych osobowych </w:t>
      </w:r>
      <w:r w:rsidRPr="00155C50">
        <w:rPr>
          <w:i/>
          <w:sz w:val="20"/>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155C50">
        <w:rPr>
          <w:i/>
          <w:sz w:val="20"/>
          <w:szCs w:val="22"/>
        </w:rPr>
        <w:t>Pzp</w:t>
      </w:r>
      <w:proofErr w:type="spellEnd"/>
      <w:r w:rsidRPr="00155C50">
        <w:rPr>
          <w:i/>
          <w:sz w:val="20"/>
          <w:szCs w:val="22"/>
        </w:rPr>
        <w:t xml:space="preserve"> oraz nie może naruszać integralności protokołu oraz jego załączników);</w:t>
      </w:r>
    </w:p>
    <w:p w:rsidR="00CC4EFB" w:rsidRPr="00155C50" w:rsidRDefault="00CC4EFB" w:rsidP="00CC4EFB">
      <w:pPr>
        <w:ind w:left="1134" w:hanging="141"/>
        <w:jc w:val="both"/>
        <w:rPr>
          <w:sz w:val="22"/>
          <w:szCs w:val="22"/>
        </w:rPr>
      </w:pPr>
      <w:r w:rsidRPr="00155C50">
        <w:rPr>
          <w:sz w:val="22"/>
          <w:szCs w:val="22"/>
        </w:rPr>
        <w:t xml:space="preserve">- na podstawie art. 18 RODO prawo żądania od administratora ograniczenia przetwarzania danych osobowych z zastrzeżeniem przypadków, o których mowa w art. 18 ust. 2 RODO </w:t>
      </w:r>
      <w:r w:rsidRPr="00155C50">
        <w:rPr>
          <w:i/>
          <w:sz w:val="20"/>
          <w:szCs w:val="22"/>
        </w:rPr>
        <w:t xml:space="preserve">(Wyjaśnienie: prawo do ograniczenia przetwarzania nie ma zastosowania w odniesieniu </w:t>
      </w:r>
      <w:r w:rsidRPr="00155C50">
        <w:rPr>
          <w:i/>
          <w:sz w:val="20"/>
          <w:szCs w:val="22"/>
        </w:rPr>
        <w:br/>
        <w:t xml:space="preserve">do przechowywania, w celu zapewnienia korzystania ze środków ochrony prawnej </w:t>
      </w:r>
      <w:r w:rsidRPr="00155C50">
        <w:rPr>
          <w:i/>
          <w:sz w:val="20"/>
          <w:szCs w:val="22"/>
        </w:rPr>
        <w:br/>
        <w:t xml:space="preserve">lub w celu ochrony praw innej osoby fizycznej lub prawnej, lub z uwagi na ważne względy interesu publicznego Unii Europejskiej lub państwa członkowskiego); </w:t>
      </w:r>
    </w:p>
    <w:p w:rsidR="00CC4EFB" w:rsidRPr="00155C50" w:rsidRDefault="00CC4EFB" w:rsidP="00CC4EFB">
      <w:pPr>
        <w:ind w:left="1134" w:hanging="141"/>
        <w:jc w:val="both"/>
        <w:rPr>
          <w:sz w:val="22"/>
          <w:szCs w:val="22"/>
        </w:rPr>
      </w:pPr>
      <w:r w:rsidRPr="00155C50">
        <w:rPr>
          <w:sz w:val="22"/>
          <w:szCs w:val="22"/>
        </w:rPr>
        <w:t xml:space="preserve">- prawo do wniesienia skargi do Prezesa Urzędu Ochrony Danych Osobowych, </w:t>
      </w:r>
      <w:r w:rsidRPr="00155C50">
        <w:rPr>
          <w:sz w:val="22"/>
          <w:szCs w:val="22"/>
        </w:rPr>
        <w:br/>
        <w:t>gdy uzna Pani/Pan, że przetwarzanie danych osobowych Pani/Pana dotyczących narusza przepisy RODO;</w:t>
      </w:r>
    </w:p>
    <w:p w:rsidR="00CC4EFB" w:rsidRPr="00155C50" w:rsidRDefault="00CC4EFB" w:rsidP="00CC4EFB">
      <w:pPr>
        <w:numPr>
          <w:ilvl w:val="0"/>
          <w:numId w:val="12"/>
        </w:numPr>
        <w:ind w:left="993" w:hanging="284"/>
        <w:jc w:val="both"/>
        <w:rPr>
          <w:sz w:val="22"/>
          <w:szCs w:val="22"/>
        </w:rPr>
      </w:pPr>
      <w:r w:rsidRPr="00155C50">
        <w:rPr>
          <w:sz w:val="22"/>
          <w:szCs w:val="22"/>
        </w:rPr>
        <w:t>nie przysługuje Pani/Panu:</w:t>
      </w:r>
    </w:p>
    <w:p w:rsidR="00CC4EFB" w:rsidRPr="00155C50" w:rsidRDefault="00CC4EFB" w:rsidP="00CC4EFB">
      <w:pPr>
        <w:ind w:left="1134" w:hanging="141"/>
        <w:jc w:val="both"/>
        <w:rPr>
          <w:sz w:val="22"/>
          <w:szCs w:val="22"/>
        </w:rPr>
      </w:pPr>
      <w:r w:rsidRPr="00155C50">
        <w:rPr>
          <w:sz w:val="22"/>
          <w:szCs w:val="22"/>
        </w:rPr>
        <w:t>- w związku z art. 17 ust. 3 lit. b, d lub e RODO prawo do usunięcia danych osobowych;</w:t>
      </w:r>
    </w:p>
    <w:p w:rsidR="00CC4EFB" w:rsidRPr="00155C50" w:rsidRDefault="00CC4EFB" w:rsidP="00CC4EFB">
      <w:pPr>
        <w:ind w:left="1134" w:hanging="141"/>
        <w:jc w:val="both"/>
        <w:rPr>
          <w:sz w:val="22"/>
          <w:szCs w:val="22"/>
        </w:rPr>
      </w:pPr>
      <w:r w:rsidRPr="00155C50">
        <w:rPr>
          <w:sz w:val="22"/>
          <w:szCs w:val="22"/>
        </w:rPr>
        <w:t>- prawo do przenoszenia danych osobowych, o którym mowa w art. 20 RODO;</w:t>
      </w:r>
    </w:p>
    <w:p w:rsidR="00CC4EFB" w:rsidRPr="00155C50" w:rsidRDefault="00CC4EFB" w:rsidP="00CC4EFB">
      <w:pPr>
        <w:ind w:left="1134" w:hanging="141"/>
        <w:jc w:val="both"/>
        <w:rPr>
          <w:sz w:val="22"/>
          <w:szCs w:val="22"/>
        </w:rPr>
      </w:pPr>
      <w:r w:rsidRPr="00155C50">
        <w:rPr>
          <w:sz w:val="22"/>
          <w:szCs w:val="22"/>
        </w:rPr>
        <w:t>- na podstawie art. 21 RODO prawo sprzeciwu, wobec przetwarzania danych osobowych, gdyż podstawą prawną przetwarzania Pani/Pana danych osobowych jest art. 6 ust. 1 lit. c RODO.</w:t>
      </w:r>
    </w:p>
    <w:p w:rsidR="00CC4EFB" w:rsidRPr="00155C50" w:rsidRDefault="00CC4EFB" w:rsidP="00CC4EFB">
      <w:pPr>
        <w:tabs>
          <w:tab w:val="left" w:pos="0"/>
          <w:tab w:val="left" w:pos="2700"/>
          <w:tab w:val="left" w:pos="7920"/>
        </w:tabs>
        <w:spacing w:line="360" w:lineRule="auto"/>
        <w:rPr>
          <w:b/>
          <w:sz w:val="22"/>
        </w:rPr>
      </w:pPr>
      <w:r w:rsidRPr="00155C50">
        <w:rPr>
          <w:b/>
          <w:sz w:val="22"/>
        </w:rPr>
        <w:t>Sporządził:</w:t>
      </w:r>
      <w:r w:rsidRPr="00155C50">
        <w:rPr>
          <w:b/>
          <w:sz w:val="22"/>
        </w:rPr>
        <w:tab/>
        <w:t xml:space="preserve">            Sprawdził:</w:t>
      </w:r>
      <w:r w:rsidRPr="00155C50">
        <w:rPr>
          <w:b/>
          <w:sz w:val="22"/>
        </w:rPr>
        <w:tab/>
        <w:t>Zatwierdził:</w:t>
      </w:r>
    </w:p>
    <w:p w:rsidR="00CC4EFB" w:rsidRPr="00155C50" w:rsidRDefault="00CC4EFB" w:rsidP="00CC4EFB">
      <w:pPr>
        <w:spacing w:line="360" w:lineRule="auto"/>
        <w:jc w:val="both"/>
        <w:rPr>
          <w:sz w:val="22"/>
        </w:rPr>
      </w:pPr>
    </w:p>
    <w:p w:rsidR="00CC4EFB" w:rsidRPr="00155C50" w:rsidRDefault="00CC4EFB" w:rsidP="00CC4EFB">
      <w:pPr>
        <w:spacing w:line="360" w:lineRule="auto"/>
        <w:jc w:val="both"/>
        <w:rPr>
          <w:sz w:val="22"/>
        </w:rPr>
      </w:pPr>
    </w:p>
    <w:p w:rsidR="00CC4EFB" w:rsidRDefault="00CC4EFB" w:rsidP="00CC4EFB">
      <w:pPr>
        <w:spacing w:line="360" w:lineRule="auto"/>
        <w:ind w:left="5760" w:right="-70"/>
        <w:jc w:val="right"/>
        <w:rPr>
          <w:sz w:val="22"/>
        </w:rPr>
      </w:pPr>
      <w:r w:rsidRPr="00155C50">
        <w:rPr>
          <w:sz w:val="22"/>
        </w:rPr>
        <w:t>mgr inż. Henryk Zioło</w:t>
      </w:r>
    </w:p>
    <w:p w:rsidR="00CC4EFB" w:rsidRDefault="00CC4EFB" w:rsidP="00CC4EFB">
      <w:pPr>
        <w:spacing w:line="360" w:lineRule="auto"/>
        <w:ind w:left="5760" w:right="-70"/>
        <w:jc w:val="right"/>
        <w:rPr>
          <w:sz w:val="22"/>
        </w:rPr>
      </w:pPr>
    </w:p>
    <w:p w:rsidR="00CC4EFB" w:rsidRDefault="00CC4EFB" w:rsidP="00CC4EFB">
      <w:pPr>
        <w:spacing w:line="360" w:lineRule="auto"/>
        <w:ind w:left="5760" w:right="-70"/>
        <w:jc w:val="right"/>
        <w:rPr>
          <w:sz w:val="22"/>
        </w:rPr>
      </w:pPr>
    </w:p>
    <w:p w:rsidR="00CC4EFB" w:rsidRDefault="00CC4EFB" w:rsidP="00CC4EFB">
      <w:pPr>
        <w:spacing w:line="360" w:lineRule="auto"/>
        <w:ind w:left="5760" w:right="-70"/>
        <w:jc w:val="right"/>
        <w:rPr>
          <w:sz w:val="22"/>
        </w:rPr>
      </w:pPr>
    </w:p>
    <w:p w:rsidR="00CC4EFB" w:rsidRPr="00155C50" w:rsidRDefault="00CC4EFB" w:rsidP="00CC4EFB">
      <w:pPr>
        <w:spacing w:line="360" w:lineRule="auto"/>
        <w:ind w:left="5760" w:right="-70"/>
        <w:jc w:val="right"/>
        <w:rPr>
          <w:sz w:val="22"/>
        </w:rPr>
      </w:pPr>
    </w:p>
    <w:p w:rsidR="00CC4EFB" w:rsidRPr="00155C50" w:rsidRDefault="00CC4EFB" w:rsidP="00CC4EFB">
      <w:pPr>
        <w:numPr>
          <w:ilvl w:val="0"/>
          <w:numId w:val="3"/>
        </w:numPr>
        <w:spacing w:before="240" w:after="120"/>
        <w:jc w:val="both"/>
        <w:outlineLvl w:val="0"/>
        <w:rPr>
          <w:rFonts w:cs="Arial"/>
          <w:b/>
          <w:bCs/>
          <w:caps/>
          <w:kern w:val="32"/>
        </w:rPr>
      </w:pPr>
      <w:r w:rsidRPr="00155C50">
        <w:rPr>
          <w:rFonts w:cs="Arial"/>
          <w:b/>
          <w:bCs/>
          <w:caps/>
          <w:kern w:val="32"/>
        </w:rPr>
        <w:t>ZAŁĄCZNIKI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CC4EFB" w:rsidRPr="004C6497" w:rsidTr="00D72B0F">
        <w:tc>
          <w:tcPr>
            <w:tcW w:w="828" w:type="dxa"/>
            <w:shd w:val="clear" w:color="auto" w:fill="auto"/>
          </w:tcPr>
          <w:p w:rsidR="00CC4EFB" w:rsidRPr="004C6497" w:rsidRDefault="00CC4EFB" w:rsidP="00D72B0F">
            <w:pPr>
              <w:spacing w:before="60" w:after="120"/>
              <w:jc w:val="both"/>
              <w:rPr>
                <w:b/>
              </w:rPr>
            </w:pPr>
            <w:r w:rsidRPr="004C6497">
              <w:rPr>
                <w:b/>
              </w:rPr>
              <w:t>Nr</w:t>
            </w:r>
          </w:p>
        </w:tc>
        <w:tc>
          <w:tcPr>
            <w:tcW w:w="7740" w:type="dxa"/>
            <w:shd w:val="clear" w:color="auto" w:fill="auto"/>
          </w:tcPr>
          <w:p w:rsidR="00CC4EFB" w:rsidRPr="004C6497" w:rsidRDefault="00CC4EFB" w:rsidP="00D72B0F">
            <w:pPr>
              <w:spacing w:before="60" w:after="120"/>
              <w:jc w:val="both"/>
              <w:rPr>
                <w:b/>
              </w:rPr>
            </w:pPr>
            <w:r w:rsidRPr="004C6497">
              <w:rPr>
                <w:b/>
              </w:rPr>
              <w:t>Nazwa załącznika</w:t>
            </w:r>
          </w:p>
        </w:tc>
      </w:tr>
      <w:tr w:rsidR="00CC4EFB" w:rsidRPr="004C6497" w:rsidTr="00D72B0F">
        <w:tc>
          <w:tcPr>
            <w:tcW w:w="828" w:type="dxa"/>
            <w:shd w:val="clear" w:color="auto" w:fill="auto"/>
          </w:tcPr>
          <w:p w:rsidR="00CC4EFB" w:rsidRPr="004C6497" w:rsidRDefault="00CC4EFB" w:rsidP="00D72B0F">
            <w:pPr>
              <w:spacing w:before="60" w:after="120"/>
              <w:jc w:val="both"/>
              <w:rPr>
                <w:b/>
              </w:rPr>
            </w:pPr>
            <w:r w:rsidRPr="004C6497">
              <w:t>1</w:t>
            </w:r>
          </w:p>
        </w:tc>
        <w:tc>
          <w:tcPr>
            <w:tcW w:w="7740" w:type="dxa"/>
            <w:shd w:val="clear" w:color="auto" w:fill="auto"/>
          </w:tcPr>
          <w:p w:rsidR="00CC4EFB" w:rsidRPr="004C6497" w:rsidRDefault="00CC4EFB" w:rsidP="00D72B0F">
            <w:pPr>
              <w:spacing w:before="60" w:after="120"/>
              <w:jc w:val="both"/>
              <w:rPr>
                <w:b/>
              </w:rPr>
            </w:pPr>
            <w:r w:rsidRPr="004C6497">
              <w:t>Formularz oferty - dostawy</w:t>
            </w:r>
          </w:p>
        </w:tc>
      </w:tr>
      <w:tr w:rsidR="00CC4EFB" w:rsidRPr="004C6497" w:rsidTr="00D72B0F">
        <w:tc>
          <w:tcPr>
            <w:tcW w:w="828" w:type="dxa"/>
            <w:shd w:val="clear" w:color="auto" w:fill="auto"/>
          </w:tcPr>
          <w:p w:rsidR="00CC4EFB" w:rsidRPr="004C6497" w:rsidRDefault="00CC4EFB" w:rsidP="00D72B0F">
            <w:pPr>
              <w:spacing w:before="60" w:after="120"/>
              <w:jc w:val="both"/>
              <w:rPr>
                <w:b/>
              </w:rPr>
            </w:pPr>
            <w:r w:rsidRPr="004C6497">
              <w:t>2</w:t>
            </w:r>
          </w:p>
        </w:tc>
        <w:tc>
          <w:tcPr>
            <w:tcW w:w="7740" w:type="dxa"/>
            <w:shd w:val="clear" w:color="auto" w:fill="auto"/>
          </w:tcPr>
          <w:p w:rsidR="00CC4EFB" w:rsidRPr="004C6497" w:rsidRDefault="00CC4EFB" w:rsidP="00D72B0F">
            <w:pPr>
              <w:spacing w:before="60" w:after="120"/>
              <w:jc w:val="both"/>
              <w:rPr>
                <w:b/>
              </w:rPr>
            </w:pPr>
            <w:r w:rsidRPr="004C6497">
              <w:t>Oświadczenie o niepodleganiu wykluczeniu oraz spełnianiu warunków udziału</w:t>
            </w:r>
          </w:p>
        </w:tc>
      </w:tr>
      <w:tr w:rsidR="00CC4EFB" w:rsidRPr="004C6497" w:rsidTr="00D72B0F">
        <w:tc>
          <w:tcPr>
            <w:tcW w:w="828" w:type="dxa"/>
            <w:shd w:val="clear" w:color="auto" w:fill="auto"/>
          </w:tcPr>
          <w:p w:rsidR="00CC4EFB" w:rsidRPr="004C6497" w:rsidRDefault="00CC4EFB" w:rsidP="00D72B0F">
            <w:pPr>
              <w:spacing w:before="60" w:after="120"/>
              <w:jc w:val="both"/>
            </w:pPr>
            <w:r w:rsidRPr="004C6497">
              <w:t>3</w:t>
            </w:r>
          </w:p>
        </w:tc>
        <w:tc>
          <w:tcPr>
            <w:tcW w:w="7740" w:type="dxa"/>
            <w:shd w:val="clear" w:color="auto" w:fill="auto"/>
          </w:tcPr>
          <w:p w:rsidR="00CC4EFB" w:rsidRPr="004C6497" w:rsidRDefault="00CC4EFB" w:rsidP="00D72B0F">
            <w:pPr>
              <w:spacing w:before="60" w:after="120"/>
              <w:jc w:val="both"/>
            </w:pPr>
            <w:r w:rsidRPr="004C6497">
              <w:t>Wzór umowy - dostawy</w:t>
            </w:r>
          </w:p>
        </w:tc>
      </w:tr>
    </w:tbl>
    <w:p w:rsidR="00CC4EFB" w:rsidRPr="00155C50" w:rsidRDefault="00CC4EFB" w:rsidP="00CC4EFB"/>
    <w:p w:rsidR="00CC4EFB" w:rsidRPr="009A12B2" w:rsidRDefault="00CC4EFB" w:rsidP="00CC4EFB">
      <w:pPr>
        <w:pStyle w:val="Nagwek1"/>
        <w:numPr>
          <w:ilvl w:val="0"/>
          <w:numId w:val="0"/>
        </w:numPr>
        <w:ind w:left="432"/>
      </w:pPr>
    </w:p>
    <w:p w:rsidR="00EB7871" w:rsidRPr="009A12B2" w:rsidRDefault="00EB7871" w:rsidP="00D75BF1">
      <w:pPr>
        <w:pStyle w:val="Nagwek1"/>
        <w:numPr>
          <w:ilvl w:val="0"/>
          <w:numId w:val="0"/>
        </w:numPr>
        <w:ind w:left="432"/>
      </w:pPr>
    </w:p>
    <w:sectPr w:rsidR="00EB7871" w:rsidRPr="009A12B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C9" w:rsidRDefault="009A2FC9">
      <w:r>
        <w:separator/>
      </w:r>
    </w:p>
  </w:endnote>
  <w:endnote w:type="continuationSeparator" w:id="0">
    <w:p w:rsidR="009A2FC9" w:rsidRDefault="009A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9A" w:rsidRDefault="00D924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47" w:rsidRDefault="0014798A">
    <w:pPr>
      <w:pStyle w:val="Stopka"/>
      <w:rPr>
        <w:sz w:val="18"/>
        <w:szCs w:val="18"/>
      </w:rPr>
    </w:pPr>
    <w:r>
      <w:rPr>
        <w:noProof/>
        <w:sz w:val="18"/>
        <w:szCs w:val="18"/>
      </w:rPr>
      <w:pict>
        <v:line id="_x0000_s2049" style="position:absolute;z-index:251657216" from="0,5.05pt" to="459pt,5.05pt"/>
      </w:pict>
    </w:r>
  </w:p>
  <w:p w:rsidR="00037F47" w:rsidRDefault="00037F4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4798A">
      <w:rPr>
        <w:rStyle w:val="Numerstrony"/>
        <w:noProof/>
        <w:sz w:val="18"/>
        <w:szCs w:val="18"/>
      </w:rPr>
      <w:t>15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4798A">
      <w:rPr>
        <w:rStyle w:val="Numerstrony"/>
        <w:noProof/>
        <w:sz w:val="18"/>
        <w:szCs w:val="18"/>
      </w:rPr>
      <w:t>15</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9A" w:rsidRDefault="00D924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C9" w:rsidRDefault="009A2FC9">
      <w:r>
        <w:separator/>
      </w:r>
    </w:p>
  </w:footnote>
  <w:footnote w:type="continuationSeparator" w:id="0">
    <w:p w:rsidR="009A2FC9" w:rsidRDefault="009A2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9A" w:rsidRDefault="00D924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47" w:rsidRDefault="00037F47">
    <w:pPr>
      <w:pStyle w:val="Nagwek"/>
      <w:jc w:val="center"/>
      <w:rPr>
        <w:sz w:val="18"/>
        <w:szCs w:val="18"/>
      </w:rPr>
    </w:pPr>
    <w:r>
      <w:rPr>
        <w:sz w:val="18"/>
        <w:szCs w:val="18"/>
      </w:rPr>
      <w:t>Specyfikacja istotnych warunków zamówienia</w:t>
    </w:r>
  </w:p>
  <w:p w:rsidR="00037F47" w:rsidRDefault="00D9249A">
    <w:pPr>
      <w:pStyle w:val="Nagwek"/>
      <w:jc w:val="center"/>
      <w:rPr>
        <w:sz w:val="18"/>
        <w:szCs w:val="18"/>
      </w:rPr>
    </w:pPr>
    <w:r>
      <w:rPr>
        <w:sz w:val="18"/>
        <w:szCs w:val="18"/>
      </w:rPr>
      <w:t xml:space="preserve">Dostawa spektrometru fluorescencji rentgenowskiej z dyspersją falową (WD-XRF) do ilościowej analizy składu pierwiastkowego próbek stałych oraz ciekłych dla </w:t>
    </w:r>
    <w:proofErr w:type="spellStart"/>
    <w:r>
      <w:rPr>
        <w:sz w:val="18"/>
        <w:szCs w:val="18"/>
      </w:rPr>
      <w:t>ACMiN</w:t>
    </w:r>
    <w:proofErr w:type="spellEnd"/>
    <w:r>
      <w:rPr>
        <w:sz w:val="18"/>
        <w:szCs w:val="18"/>
      </w:rPr>
      <w:t xml:space="preserve"> AGH - KC-zp.272-554/19</w:t>
    </w:r>
  </w:p>
  <w:p w:rsidR="00037F47" w:rsidRDefault="0014798A">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9A" w:rsidRDefault="00D924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5A5"/>
    <w:multiLevelType w:val="hybridMultilevel"/>
    <w:tmpl w:val="83667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F6442E"/>
    <w:multiLevelType w:val="hybridMultilevel"/>
    <w:tmpl w:val="C15EDE24"/>
    <w:lvl w:ilvl="0" w:tplc="836094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7252C4"/>
    <w:multiLevelType w:val="hybridMultilevel"/>
    <w:tmpl w:val="FDA2FC08"/>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
    <w:nsid w:val="1EE3197E"/>
    <w:multiLevelType w:val="multilevel"/>
    <w:tmpl w:val="137492D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F2851B1"/>
    <w:multiLevelType w:val="hybridMultilevel"/>
    <w:tmpl w:val="54828DB2"/>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
    <w:nsid w:val="44CC1179"/>
    <w:multiLevelType w:val="hybridMultilevel"/>
    <w:tmpl w:val="0BF65E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4BC624F7"/>
    <w:multiLevelType w:val="hybridMultilevel"/>
    <w:tmpl w:val="99C244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4DF033DD"/>
    <w:multiLevelType w:val="hybridMultilevel"/>
    <w:tmpl w:val="D14865F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nsid w:val="4EEA3CD9"/>
    <w:multiLevelType w:val="hybridMultilevel"/>
    <w:tmpl w:val="3B14B966"/>
    <w:lvl w:ilvl="0" w:tplc="04150017">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9">
    <w:nsid w:val="515B5CED"/>
    <w:multiLevelType w:val="hybridMultilevel"/>
    <w:tmpl w:val="5E58BB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99F7F40"/>
    <w:multiLevelType w:val="hybridMultilevel"/>
    <w:tmpl w:val="FDBE1B82"/>
    <w:lvl w:ilvl="0" w:tplc="301E4C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1111FE"/>
    <w:multiLevelType w:val="hybridMultilevel"/>
    <w:tmpl w:val="D46011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454C05"/>
    <w:multiLevelType w:val="hybridMultilevel"/>
    <w:tmpl w:val="668C9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75C843F5"/>
    <w:multiLevelType w:val="hybridMultilevel"/>
    <w:tmpl w:val="BA02876E"/>
    <w:lvl w:ilvl="0" w:tplc="496C2C78">
      <w:start w:val="1"/>
      <w:numFmt w:val="lowerLetter"/>
      <w:lvlText w:val="%1)"/>
      <w:lvlJc w:val="left"/>
      <w:pPr>
        <w:ind w:left="403" w:hanging="360"/>
      </w:pPr>
    </w:lvl>
    <w:lvl w:ilvl="1" w:tplc="04150019">
      <w:start w:val="1"/>
      <w:numFmt w:val="lowerLetter"/>
      <w:lvlText w:val="%2."/>
      <w:lvlJc w:val="left"/>
      <w:pPr>
        <w:ind w:left="1123" w:hanging="360"/>
      </w:pPr>
    </w:lvl>
    <w:lvl w:ilvl="2" w:tplc="0415001B">
      <w:start w:val="1"/>
      <w:numFmt w:val="lowerRoman"/>
      <w:lvlText w:val="%3."/>
      <w:lvlJc w:val="right"/>
      <w:pPr>
        <w:ind w:left="1843" w:hanging="180"/>
      </w:pPr>
    </w:lvl>
    <w:lvl w:ilvl="3" w:tplc="0415000F">
      <w:start w:val="1"/>
      <w:numFmt w:val="decimal"/>
      <w:lvlText w:val="%4."/>
      <w:lvlJc w:val="left"/>
      <w:pPr>
        <w:ind w:left="2563" w:hanging="360"/>
      </w:pPr>
    </w:lvl>
    <w:lvl w:ilvl="4" w:tplc="04150019">
      <w:start w:val="1"/>
      <w:numFmt w:val="lowerLetter"/>
      <w:lvlText w:val="%5."/>
      <w:lvlJc w:val="left"/>
      <w:pPr>
        <w:ind w:left="3283" w:hanging="360"/>
      </w:pPr>
    </w:lvl>
    <w:lvl w:ilvl="5" w:tplc="0415001B">
      <w:start w:val="1"/>
      <w:numFmt w:val="lowerRoman"/>
      <w:lvlText w:val="%6."/>
      <w:lvlJc w:val="right"/>
      <w:pPr>
        <w:ind w:left="4003" w:hanging="180"/>
      </w:pPr>
    </w:lvl>
    <w:lvl w:ilvl="6" w:tplc="0415000F">
      <w:start w:val="1"/>
      <w:numFmt w:val="decimal"/>
      <w:lvlText w:val="%7."/>
      <w:lvlJc w:val="left"/>
      <w:pPr>
        <w:ind w:left="4723" w:hanging="360"/>
      </w:pPr>
    </w:lvl>
    <w:lvl w:ilvl="7" w:tplc="04150019">
      <w:start w:val="1"/>
      <w:numFmt w:val="lowerLetter"/>
      <w:lvlText w:val="%8."/>
      <w:lvlJc w:val="left"/>
      <w:pPr>
        <w:ind w:left="5443" w:hanging="360"/>
      </w:pPr>
    </w:lvl>
    <w:lvl w:ilvl="8" w:tplc="0415001B">
      <w:start w:val="1"/>
      <w:numFmt w:val="lowerRoman"/>
      <w:lvlText w:val="%9."/>
      <w:lvlJc w:val="right"/>
      <w:pPr>
        <w:ind w:left="6163" w:hanging="180"/>
      </w:pPr>
    </w:lvl>
  </w:abstractNum>
  <w:abstractNum w:abstractNumId="15">
    <w:nsid w:val="766B40B1"/>
    <w:multiLevelType w:val="hybridMultilevel"/>
    <w:tmpl w:val="29BEEC6E"/>
    <w:lvl w:ilvl="0" w:tplc="83609494">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87B21CFC">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num w:numId="1">
    <w:abstractNumId w:val="3"/>
  </w:num>
  <w:num w:numId="2">
    <w:abstractNumId w:val="12"/>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1"/>
  </w:num>
  <w:num w:numId="7">
    <w:abstractNumId w:val="5"/>
  </w:num>
  <w:num w:numId="8">
    <w:abstractNumId w:val="7"/>
  </w:num>
  <w:num w:numId="9">
    <w:abstractNumId w:val="8"/>
  </w:num>
  <w:num w:numId="10">
    <w:abstractNumId w:val="4"/>
  </w:num>
  <w:num w:numId="11">
    <w:abstractNumId w:val="6"/>
  </w:num>
  <w:num w:numId="12">
    <w:abstractNumId w:val="13"/>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FC9"/>
    <w:rsid w:val="000067E5"/>
    <w:rsid w:val="00007D4E"/>
    <w:rsid w:val="0001340B"/>
    <w:rsid w:val="00015706"/>
    <w:rsid w:val="00021A37"/>
    <w:rsid w:val="000249E2"/>
    <w:rsid w:val="000374CB"/>
    <w:rsid w:val="00037F47"/>
    <w:rsid w:val="000471B4"/>
    <w:rsid w:val="0005779B"/>
    <w:rsid w:val="00057CEB"/>
    <w:rsid w:val="00073521"/>
    <w:rsid w:val="0008611F"/>
    <w:rsid w:val="000863A5"/>
    <w:rsid w:val="00094033"/>
    <w:rsid w:val="000A3AB4"/>
    <w:rsid w:val="000A4BA7"/>
    <w:rsid w:val="000B08A9"/>
    <w:rsid w:val="000E0CE8"/>
    <w:rsid w:val="000E402A"/>
    <w:rsid w:val="000F01D8"/>
    <w:rsid w:val="000F53AD"/>
    <w:rsid w:val="00103338"/>
    <w:rsid w:val="00105DBE"/>
    <w:rsid w:val="0010751F"/>
    <w:rsid w:val="00116483"/>
    <w:rsid w:val="00120CAE"/>
    <w:rsid w:val="0013434C"/>
    <w:rsid w:val="00141A13"/>
    <w:rsid w:val="001447AA"/>
    <w:rsid w:val="0014798A"/>
    <w:rsid w:val="00150032"/>
    <w:rsid w:val="001542F3"/>
    <w:rsid w:val="001634B8"/>
    <w:rsid w:val="001647D3"/>
    <w:rsid w:val="001712D1"/>
    <w:rsid w:val="001B3F5E"/>
    <w:rsid w:val="001C3518"/>
    <w:rsid w:val="001D00C7"/>
    <w:rsid w:val="001E66C0"/>
    <w:rsid w:val="001E6A40"/>
    <w:rsid w:val="001F2B2F"/>
    <w:rsid w:val="00201D7C"/>
    <w:rsid w:val="002058FE"/>
    <w:rsid w:val="00212C20"/>
    <w:rsid w:val="002239C2"/>
    <w:rsid w:val="002240B4"/>
    <w:rsid w:val="0023427E"/>
    <w:rsid w:val="00234936"/>
    <w:rsid w:val="0023697B"/>
    <w:rsid w:val="0024508B"/>
    <w:rsid w:val="00253E99"/>
    <w:rsid w:val="00263EFE"/>
    <w:rsid w:val="00277EF6"/>
    <w:rsid w:val="0028289C"/>
    <w:rsid w:val="00287E69"/>
    <w:rsid w:val="002963F2"/>
    <w:rsid w:val="002A1D00"/>
    <w:rsid w:val="002A2D4A"/>
    <w:rsid w:val="002B22BF"/>
    <w:rsid w:val="002B5999"/>
    <w:rsid w:val="002C00A3"/>
    <w:rsid w:val="002C2902"/>
    <w:rsid w:val="002E1227"/>
    <w:rsid w:val="002E3EA8"/>
    <w:rsid w:val="002E5E36"/>
    <w:rsid w:val="0030695E"/>
    <w:rsid w:val="00307923"/>
    <w:rsid w:val="003121BB"/>
    <w:rsid w:val="003125ED"/>
    <w:rsid w:val="003209A8"/>
    <w:rsid w:val="00322993"/>
    <w:rsid w:val="00330749"/>
    <w:rsid w:val="00330F50"/>
    <w:rsid w:val="00332B90"/>
    <w:rsid w:val="0033726F"/>
    <w:rsid w:val="0034463B"/>
    <w:rsid w:val="003465FC"/>
    <w:rsid w:val="00351C18"/>
    <w:rsid w:val="00364DC0"/>
    <w:rsid w:val="00370FA7"/>
    <w:rsid w:val="00373378"/>
    <w:rsid w:val="00375788"/>
    <w:rsid w:val="00381503"/>
    <w:rsid w:val="0038188C"/>
    <w:rsid w:val="00381933"/>
    <w:rsid w:val="00384056"/>
    <w:rsid w:val="003A6E97"/>
    <w:rsid w:val="003C199B"/>
    <w:rsid w:val="003C4BDA"/>
    <w:rsid w:val="003D58D6"/>
    <w:rsid w:val="003D7BED"/>
    <w:rsid w:val="003F2C86"/>
    <w:rsid w:val="00402521"/>
    <w:rsid w:val="00403B18"/>
    <w:rsid w:val="00405BAB"/>
    <w:rsid w:val="004110AC"/>
    <w:rsid w:val="004201F8"/>
    <w:rsid w:val="00421B1D"/>
    <w:rsid w:val="00421C92"/>
    <w:rsid w:val="00423EDC"/>
    <w:rsid w:val="004350D7"/>
    <w:rsid w:val="004416E1"/>
    <w:rsid w:val="004460EE"/>
    <w:rsid w:val="00447228"/>
    <w:rsid w:val="00462057"/>
    <w:rsid w:val="00466719"/>
    <w:rsid w:val="004757E4"/>
    <w:rsid w:val="00475E9C"/>
    <w:rsid w:val="004763E0"/>
    <w:rsid w:val="004820E5"/>
    <w:rsid w:val="00483F80"/>
    <w:rsid w:val="00485241"/>
    <w:rsid w:val="0048564F"/>
    <w:rsid w:val="00494971"/>
    <w:rsid w:val="004B3857"/>
    <w:rsid w:val="004B55D1"/>
    <w:rsid w:val="004C47E5"/>
    <w:rsid w:val="004D10CC"/>
    <w:rsid w:val="004D2DE6"/>
    <w:rsid w:val="004E57C8"/>
    <w:rsid w:val="004F2828"/>
    <w:rsid w:val="004F50A8"/>
    <w:rsid w:val="00510831"/>
    <w:rsid w:val="00514D20"/>
    <w:rsid w:val="005371E8"/>
    <w:rsid w:val="00557402"/>
    <w:rsid w:val="00562E86"/>
    <w:rsid w:val="00571EFD"/>
    <w:rsid w:val="00572398"/>
    <w:rsid w:val="005828F4"/>
    <w:rsid w:val="00591661"/>
    <w:rsid w:val="00591C08"/>
    <w:rsid w:val="005D2148"/>
    <w:rsid w:val="005E78A3"/>
    <w:rsid w:val="005F6A52"/>
    <w:rsid w:val="0060209F"/>
    <w:rsid w:val="00603291"/>
    <w:rsid w:val="00604E32"/>
    <w:rsid w:val="00607041"/>
    <w:rsid w:val="00614581"/>
    <w:rsid w:val="006318DF"/>
    <w:rsid w:val="0063322D"/>
    <w:rsid w:val="00635461"/>
    <w:rsid w:val="0063732B"/>
    <w:rsid w:val="0063793E"/>
    <w:rsid w:val="00637B19"/>
    <w:rsid w:val="00650268"/>
    <w:rsid w:val="00652E98"/>
    <w:rsid w:val="00655B18"/>
    <w:rsid w:val="0066381A"/>
    <w:rsid w:val="00665D6E"/>
    <w:rsid w:val="00666C20"/>
    <w:rsid w:val="006737D4"/>
    <w:rsid w:val="0067797E"/>
    <w:rsid w:val="006810A7"/>
    <w:rsid w:val="00681AF7"/>
    <w:rsid w:val="006A75A1"/>
    <w:rsid w:val="006B7E94"/>
    <w:rsid w:val="006C0E92"/>
    <w:rsid w:val="006C1F3A"/>
    <w:rsid w:val="006D1AC3"/>
    <w:rsid w:val="006E07B9"/>
    <w:rsid w:val="006F0644"/>
    <w:rsid w:val="006F625A"/>
    <w:rsid w:val="00705BE6"/>
    <w:rsid w:val="0071433D"/>
    <w:rsid w:val="00732B5E"/>
    <w:rsid w:val="00740B94"/>
    <w:rsid w:val="00741CCD"/>
    <w:rsid w:val="0074440C"/>
    <w:rsid w:val="007454D2"/>
    <w:rsid w:val="007465B4"/>
    <w:rsid w:val="00757FE2"/>
    <w:rsid w:val="00774503"/>
    <w:rsid w:val="00774A7C"/>
    <w:rsid w:val="0077697E"/>
    <w:rsid w:val="00787972"/>
    <w:rsid w:val="00793671"/>
    <w:rsid w:val="00794C55"/>
    <w:rsid w:val="007A004A"/>
    <w:rsid w:val="007A0151"/>
    <w:rsid w:val="007B4A5D"/>
    <w:rsid w:val="007C6B32"/>
    <w:rsid w:val="007D1898"/>
    <w:rsid w:val="007D3978"/>
    <w:rsid w:val="007E3233"/>
    <w:rsid w:val="007E7574"/>
    <w:rsid w:val="007F173C"/>
    <w:rsid w:val="008072F0"/>
    <w:rsid w:val="0081426E"/>
    <w:rsid w:val="0082230A"/>
    <w:rsid w:val="00823C81"/>
    <w:rsid w:val="008256E6"/>
    <w:rsid w:val="008319B3"/>
    <w:rsid w:val="008339C1"/>
    <w:rsid w:val="00844250"/>
    <w:rsid w:val="00851F4C"/>
    <w:rsid w:val="00861465"/>
    <w:rsid w:val="00861D4D"/>
    <w:rsid w:val="008634CF"/>
    <w:rsid w:val="00874101"/>
    <w:rsid w:val="00883670"/>
    <w:rsid w:val="00885B9B"/>
    <w:rsid w:val="00896889"/>
    <w:rsid w:val="008B01E0"/>
    <w:rsid w:val="008B3AC8"/>
    <w:rsid w:val="008B6049"/>
    <w:rsid w:val="008B739E"/>
    <w:rsid w:val="008C1D01"/>
    <w:rsid w:val="008D48A7"/>
    <w:rsid w:val="008D7226"/>
    <w:rsid w:val="008E2C1B"/>
    <w:rsid w:val="008E456B"/>
    <w:rsid w:val="008E7310"/>
    <w:rsid w:val="008F1B65"/>
    <w:rsid w:val="008F6989"/>
    <w:rsid w:val="00906D80"/>
    <w:rsid w:val="009134FB"/>
    <w:rsid w:val="00925F62"/>
    <w:rsid w:val="00931949"/>
    <w:rsid w:val="0093423E"/>
    <w:rsid w:val="00945CED"/>
    <w:rsid w:val="0094666E"/>
    <w:rsid w:val="00960DA8"/>
    <w:rsid w:val="00961A57"/>
    <w:rsid w:val="00974564"/>
    <w:rsid w:val="00982397"/>
    <w:rsid w:val="009838C7"/>
    <w:rsid w:val="0099517F"/>
    <w:rsid w:val="009A12B2"/>
    <w:rsid w:val="009A2FC9"/>
    <w:rsid w:val="009A4CC1"/>
    <w:rsid w:val="009B498A"/>
    <w:rsid w:val="009B75C1"/>
    <w:rsid w:val="009C362A"/>
    <w:rsid w:val="009E7B6E"/>
    <w:rsid w:val="009F0A8E"/>
    <w:rsid w:val="00A00051"/>
    <w:rsid w:val="00A0288B"/>
    <w:rsid w:val="00A02B83"/>
    <w:rsid w:val="00A13671"/>
    <w:rsid w:val="00A14C4C"/>
    <w:rsid w:val="00A21EDF"/>
    <w:rsid w:val="00A2369F"/>
    <w:rsid w:val="00A250A6"/>
    <w:rsid w:val="00A26A9B"/>
    <w:rsid w:val="00A31608"/>
    <w:rsid w:val="00A44F5C"/>
    <w:rsid w:val="00A52216"/>
    <w:rsid w:val="00A56852"/>
    <w:rsid w:val="00A57831"/>
    <w:rsid w:val="00A63EE8"/>
    <w:rsid w:val="00A65FB9"/>
    <w:rsid w:val="00A70B48"/>
    <w:rsid w:val="00A75D15"/>
    <w:rsid w:val="00AA661F"/>
    <w:rsid w:val="00AB7036"/>
    <w:rsid w:val="00AC275F"/>
    <w:rsid w:val="00AC3CE1"/>
    <w:rsid w:val="00AC6647"/>
    <w:rsid w:val="00AE79C1"/>
    <w:rsid w:val="00AF10CF"/>
    <w:rsid w:val="00AF2686"/>
    <w:rsid w:val="00B06864"/>
    <w:rsid w:val="00B25F1B"/>
    <w:rsid w:val="00B36CE0"/>
    <w:rsid w:val="00B7478C"/>
    <w:rsid w:val="00B8343A"/>
    <w:rsid w:val="00BA1BF0"/>
    <w:rsid w:val="00BC04D7"/>
    <w:rsid w:val="00BC12ED"/>
    <w:rsid w:val="00BD092C"/>
    <w:rsid w:val="00BD3AC1"/>
    <w:rsid w:val="00BE79DF"/>
    <w:rsid w:val="00BE7AD9"/>
    <w:rsid w:val="00C03499"/>
    <w:rsid w:val="00C067D9"/>
    <w:rsid w:val="00C06D30"/>
    <w:rsid w:val="00C10E35"/>
    <w:rsid w:val="00C16573"/>
    <w:rsid w:val="00C20DA9"/>
    <w:rsid w:val="00C23303"/>
    <w:rsid w:val="00C2673C"/>
    <w:rsid w:val="00C2712C"/>
    <w:rsid w:val="00C346EE"/>
    <w:rsid w:val="00C35EFC"/>
    <w:rsid w:val="00C525EC"/>
    <w:rsid w:val="00C574BE"/>
    <w:rsid w:val="00C62520"/>
    <w:rsid w:val="00C70A6D"/>
    <w:rsid w:val="00C72AAC"/>
    <w:rsid w:val="00C85325"/>
    <w:rsid w:val="00CA2E31"/>
    <w:rsid w:val="00CA3D6E"/>
    <w:rsid w:val="00CA49FE"/>
    <w:rsid w:val="00CB5A3A"/>
    <w:rsid w:val="00CB6608"/>
    <w:rsid w:val="00CB7E51"/>
    <w:rsid w:val="00CC4EFB"/>
    <w:rsid w:val="00CD1C53"/>
    <w:rsid w:val="00CD2A67"/>
    <w:rsid w:val="00CD4C85"/>
    <w:rsid w:val="00CE1482"/>
    <w:rsid w:val="00CE1F43"/>
    <w:rsid w:val="00D024D0"/>
    <w:rsid w:val="00D0297E"/>
    <w:rsid w:val="00D054D8"/>
    <w:rsid w:val="00D06196"/>
    <w:rsid w:val="00D07762"/>
    <w:rsid w:val="00D11BE5"/>
    <w:rsid w:val="00D23093"/>
    <w:rsid w:val="00D47AA0"/>
    <w:rsid w:val="00D544DB"/>
    <w:rsid w:val="00D65942"/>
    <w:rsid w:val="00D67BC1"/>
    <w:rsid w:val="00D72BA8"/>
    <w:rsid w:val="00D75BF1"/>
    <w:rsid w:val="00D76EDD"/>
    <w:rsid w:val="00D84C75"/>
    <w:rsid w:val="00D9249A"/>
    <w:rsid w:val="00D9257D"/>
    <w:rsid w:val="00D95C99"/>
    <w:rsid w:val="00DA71E2"/>
    <w:rsid w:val="00DC2A29"/>
    <w:rsid w:val="00DC61FE"/>
    <w:rsid w:val="00DD4A29"/>
    <w:rsid w:val="00DE5056"/>
    <w:rsid w:val="00DE7F51"/>
    <w:rsid w:val="00E10E4F"/>
    <w:rsid w:val="00E12FB6"/>
    <w:rsid w:val="00E162A5"/>
    <w:rsid w:val="00E16656"/>
    <w:rsid w:val="00E2063E"/>
    <w:rsid w:val="00E23BC9"/>
    <w:rsid w:val="00E3219A"/>
    <w:rsid w:val="00E3630A"/>
    <w:rsid w:val="00E40611"/>
    <w:rsid w:val="00E547CA"/>
    <w:rsid w:val="00E57F09"/>
    <w:rsid w:val="00E7448C"/>
    <w:rsid w:val="00E82E05"/>
    <w:rsid w:val="00E95560"/>
    <w:rsid w:val="00E95A22"/>
    <w:rsid w:val="00EA00A8"/>
    <w:rsid w:val="00EA74D4"/>
    <w:rsid w:val="00EB24E5"/>
    <w:rsid w:val="00EB7871"/>
    <w:rsid w:val="00EC4CDA"/>
    <w:rsid w:val="00ED19BA"/>
    <w:rsid w:val="00EE237D"/>
    <w:rsid w:val="00EE7F42"/>
    <w:rsid w:val="00EF66EC"/>
    <w:rsid w:val="00F01987"/>
    <w:rsid w:val="00F04F74"/>
    <w:rsid w:val="00F131CB"/>
    <w:rsid w:val="00F13967"/>
    <w:rsid w:val="00F23594"/>
    <w:rsid w:val="00F241C5"/>
    <w:rsid w:val="00F25732"/>
    <w:rsid w:val="00F52846"/>
    <w:rsid w:val="00F65ACD"/>
    <w:rsid w:val="00F7086B"/>
    <w:rsid w:val="00F727C2"/>
    <w:rsid w:val="00F76FC7"/>
    <w:rsid w:val="00F829D7"/>
    <w:rsid w:val="00F850DF"/>
    <w:rsid w:val="00F93FDB"/>
    <w:rsid w:val="00FC3C1B"/>
    <w:rsid w:val="00FC4995"/>
    <w:rsid w:val="00FD0B5A"/>
    <w:rsid w:val="00FD417A"/>
    <w:rsid w:val="00FD5B5F"/>
    <w:rsid w:val="00FD736F"/>
    <w:rsid w:val="00FE0E41"/>
    <w:rsid w:val="00FE474E"/>
    <w:rsid w:val="00FE6971"/>
    <w:rsid w:val="00FF1C48"/>
    <w:rsid w:val="00FF22E6"/>
    <w:rsid w:val="00FF6D8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2B2"/>
    <w:rPr>
      <w:sz w:val="24"/>
      <w:szCs w:val="24"/>
    </w:rPr>
  </w:style>
  <w:style w:type="paragraph" w:styleId="Nagwek1">
    <w:name w:val="heading 1"/>
    <w:basedOn w:val="Normalny"/>
    <w:next w:val="Nagwek2"/>
    <w:link w:val="Nagwek1Znak"/>
    <w:autoRedefine/>
    <w:qFormat/>
    <w:rsid w:val="00A00051"/>
    <w:pPr>
      <w:numPr>
        <w:numId w:val="1"/>
      </w:numPr>
      <w:spacing w:before="240" w:after="120"/>
      <w:jc w:val="both"/>
      <w:outlineLvl w:val="0"/>
    </w:pPr>
    <w:rPr>
      <w:rFonts w:cs="Arial"/>
      <w:b/>
      <w:bCs/>
      <w:caps/>
      <w:kern w:val="32"/>
    </w:rPr>
  </w:style>
  <w:style w:type="paragraph" w:styleId="Nagwek2">
    <w:name w:val="heading 2"/>
    <w:basedOn w:val="Normalny"/>
    <w:link w:val="Nagwek2Znak"/>
    <w:autoRedefine/>
    <w:qFormat/>
    <w:rsid w:val="00EE237D"/>
    <w:pPr>
      <w:numPr>
        <w:ilvl w:val="1"/>
        <w:numId w:val="1"/>
      </w:numPr>
      <w:spacing w:before="60"/>
      <w:jc w:val="both"/>
      <w:outlineLvl w:val="1"/>
    </w:pPr>
    <w:rPr>
      <w:bCs/>
      <w:iCs/>
      <w:color w:val="000000"/>
    </w:rPr>
  </w:style>
  <w:style w:type="paragraph" w:styleId="Nagwek3">
    <w:name w:val="heading 3"/>
    <w:basedOn w:val="Normalny"/>
    <w:autoRedefine/>
    <w:qFormat/>
    <w:rsid w:val="00C23303"/>
    <w:pPr>
      <w:tabs>
        <w:tab w:val="left" w:pos="567"/>
      </w:tabs>
      <w:ind w:left="709"/>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9A12B2"/>
    <w:pPr>
      <w:numPr>
        <w:numId w:val="2"/>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9A12B2"/>
    <w:rPr>
      <w:sz w:val="24"/>
      <w:szCs w:val="24"/>
      <w:lang w:val="pl-PL" w:eastAsia="pl-PL" w:bidi="ar-SA"/>
    </w:rPr>
  </w:style>
  <w:style w:type="character" w:customStyle="1" w:styleId="Nagwek1Znak">
    <w:name w:val="Nagłówek 1 Znak"/>
    <w:link w:val="Nagwek1"/>
    <w:rsid w:val="00A00051"/>
    <w:rPr>
      <w:rFonts w:cs="Arial"/>
      <w:b/>
      <w:bCs/>
      <w:caps/>
      <w:kern w:val="32"/>
      <w:sz w:val="24"/>
      <w:szCs w:val="24"/>
    </w:rPr>
  </w:style>
  <w:style w:type="character" w:customStyle="1" w:styleId="Nagwek2Znak">
    <w:name w:val="Nagłówek 2 Znak"/>
    <w:link w:val="Nagwek2"/>
    <w:rsid w:val="00EE237D"/>
    <w:rPr>
      <w:bCs/>
      <w:iCs/>
      <w:color w:val="000000"/>
      <w:sz w:val="24"/>
      <w:szCs w:val="24"/>
    </w:rPr>
  </w:style>
  <w:style w:type="character" w:styleId="Hipercze">
    <w:name w:val="Hyperlink"/>
    <w:uiPriority w:val="99"/>
    <w:unhideWhenUsed/>
    <w:rsid w:val="0048564F"/>
    <w:rPr>
      <w:color w:val="0000FF"/>
      <w:u w:val="single"/>
    </w:rPr>
  </w:style>
  <w:style w:type="paragraph" w:styleId="NormalnyWeb">
    <w:name w:val="Normal (Web)"/>
    <w:basedOn w:val="Normalny"/>
    <w:semiHidden/>
    <w:unhideWhenUsed/>
    <w:rsid w:val="00C2673C"/>
    <w:pPr>
      <w:suppressAutoHyphens/>
      <w:autoSpaceDN w:val="0"/>
      <w:spacing w:before="100" w:after="100"/>
    </w:pPr>
  </w:style>
  <w:style w:type="character" w:customStyle="1" w:styleId="Nierozpoznanawzmianka">
    <w:name w:val="Nierozpoznana wzmianka"/>
    <w:uiPriority w:val="99"/>
    <w:semiHidden/>
    <w:unhideWhenUsed/>
    <w:rsid w:val="003815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824">
      <w:bodyDiv w:val="1"/>
      <w:marLeft w:val="0"/>
      <w:marRight w:val="0"/>
      <w:marTop w:val="0"/>
      <w:marBottom w:val="0"/>
      <w:divBdr>
        <w:top w:val="none" w:sz="0" w:space="0" w:color="auto"/>
        <w:left w:val="none" w:sz="0" w:space="0" w:color="auto"/>
        <w:bottom w:val="none" w:sz="0" w:space="0" w:color="auto"/>
        <w:right w:val="none" w:sz="0" w:space="0" w:color="auto"/>
      </w:divBdr>
      <w:divsChild>
        <w:div w:id="1029525106">
          <w:marLeft w:val="0"/>
          <w:marRight w:val="0"/>
          <w:marTop w:val="0"/>
          <w:marBottom w:val="0"/>
          <w:divBdr>
            <w:top w:val="none" w:sz="0" w:space="0" w:color="auto"/>
            <w:left w:val="none" w:sz="0" w:space="0" w:color="auto"/>
            <w:bottom w:val="none" w:sz="0" w:space="0" w:color="auto"/>
            <w:right w:val="none" w:sz="0" w:space="0" w:color="auto"/>
          </w:divBdr>
          <w:divsChild>
            <w:div w:id="829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978">
      <w:bodyDiv w:val="1"/>
      <w:marLeft w:val="0"/>
      <w:marRight w:val="0"/>
      <w:marTop w:val="0"/>
      <w:marBottom w:val="0"/>
      <w:divBdr>
        <w:top w:val="none" w:sz="0" w:space="0" w:color="auto"/>
        <w:left w:val="none" w:sz="0" w:space="0" w:color="auto"/>
        <w:bottom w:val="none" w:sz="0" w:space="0" w:color="auto"/>
        <w:right w:val="none" w:sz="0" w:space="0" w:color="auto"/>
      </w:divBdr>
    </w:div>
    <w:div w:id="350569031">
      <w:bodyDiv w:val="1"/>
      <w:marLeft w:val="0"/>
      <w:marRight w:val="0"/>
      <w:marTop w:val="0"/>
      <w:marBottom w:val="0"/>
      <w:divBdr>
        <w:top w:val="none" w:sz="0" w:space="0" w:color="auto"/>
        <w:left w:val="none" w:sz="0" w:space="0" w:color="auto"/>
        <w:bottom w:val="none" w:sz="0" w:space="0" w:color="auto"/>
        <w:right w:val="none" w:sz="0" w:space="0" w:color="auto"/>
      </w:divBdr>
    </w:div>
    <w:div w:id="612445742">
      <w:bodyDiv w:val="1"/>
      <w:marLeft w:val="0"/>
      <w:marRight w:val="0"/>
      <w:marTop w:val="0"/>
      <w:marBottom w:val="0"/>
      <w:divBdr>
        <w:top w:val="none" w:sz="0" w:space="0" w:color="auto"/>
        <w:left w:val="none" w:sz="0" w:space="0" w:color="auto"/>
        <w:bottom w:val="none" w:sz="0" w:space="0" w:color="auto"/>
        <w:right w:val="none" w:sz="0" w:space="0" w:color="auto"/>
      </w:divBdr>
    </w:div>
    <w:div w:id="734666298">
      <w:bodyDiv w:val="1"/>
      <w:marLeft w:val="0"/>
      <w:marRight w:val="0"/>
      <w:marTop w:val="0"/>
      <w:marBottom w:val="0"/>
      <w:divBdr>
        <w:top w:val="none" w:sz="0" w:space="0" w:color="auto"/>
        <w:left w:val="none" w:sz="0" w:space="0" w:color="auto"/>
        <w:bottom w:val="none" w:sz="0" w:space="0" w:color="auto"/>
        <w:right w:val="none" w:sz="0" w:space="0" w:color="auto"/>
      </w:divBdr>
    </w:div>
    <w:div w:id="971130677">
      <w:bodyDiv w:val="1"/>
      <w:marLeft w:val="0"/>
      <w:marRight w:val="0"/>
      <w:marTop w:val="0"/>
      <w:marBottom w:val="0"/>
      <w:divBdr>
        <w:top w:val="none" w:sz="0" w:space="0" w:color="auto"/>
        <w:left w:val="none" w:sz="0" w:space="0" w:color="auto"/>
        <w:bottom w:val="none" w:sz="0" w:space="0" w:color="auto"/>
        <w:right w:val="none" w:sz="0" w:space="0" w:color="auto"/>
      </w:divBdr>
    </w:div>
    <w:div w:id="1125006077">
      <w:bodyDiv w:val="1"/>
      <w:marLeft w:val="0"/>
      <w:marRight w:val="0"/>
      <w:marTop w:val="0"/>
      <w:marBottom w:val="0"/>
      <w:divBdr>
        <w:top w:val="none" w:sz="0" w:space="0" w:color="auto"/>
        <w:left w:val="none" w:sz="0" w:space="0" w:color="auto"/>
        <w:bottom w:val="none" w:sz="0" w:space="0" w:color="auto"/>
        <w:right w:val="none" w:sz="0" w:space="0" w:color="auto"/>
      </w:divBdr>
      <w:divsChild>
        <w:div w:id="747650981">
          <w:marLeft w:val="0"/>
          <w:marRight w:val="0"/>
          <w:marTop w:val="0"/>
          <w:marBottom w:val="0"/>
          <w:divBdr>
            <w:top w:val="none" w:sz="0" w:space="0" w:color="auto"/>
            <w:left w:val="none" w:sz="0" w:space="0" w:color="auto"/>
            <w:bottom w:val="none" w:sz="0" w:space="0" w:color="auto"/>
            <w:right w:val="none" w:sz="0" w:space="0" w:color="auto"/>
          </w:divBdr>
        </w:div>
      </w:divsChild>
    </w:div>
    <w:div w:id="1290743569">
      <w:bodyDiv w:val="1"/>
      <w:marLeft w:val="0"/>
      <w:marRight w:val="0"/>
      <w:marTop w:val="0"/>
      <w:marBottom w:val="0"/>
      <w:divBdr>
        <w:top w:val="none" w:sz="0" w:space="0" w:color="auto"/>
        <w:left w:val="none" w:sz="0" w:space="0" w:color="auto"/>
        <w:bottom w:val="none" w:sz="0" w:space="0" w:color="auto"/>
        <w:right w:val="none" w:sz="0" w:space="0" w:color="auto"/>
      </w:divBdr>
    </w:div>
    <w:div w:id="1697534298">
      <w:bodyDiv w:val="1"/>
      <w:marLeft w:val="0"/>
      <w:marRight w:val="0"/>
      <w:marTop w:val="0"/>
      <w:marBottom w:val="0"/>
      <w:divBdr>
        <w:top w:val="none" w:sz="0" w:space="0" w:color="auto"/>
        <w:left w:val="none" w:sz="0" w:space="0" w:color="auto"/>
        <w:bottom w:val="none" w:sz="0" w:space="0" w:color="auto"/>
        <w:right w:val="none" w:sz="0" w:space="0" w:color="auto"/>
      </w:divBdr>
    </w:div>
    <w:div w:id="1710035231">
      <w:bodyDiv w:val="1"/>
      <w:marLeft w:val="0"/>
      <w:marRight w:val="0"/>
      <w:marTop w:val="0"/>
      <w:marBottom w:val="0"/>
      <w:divBdr>
        <w:top w:val="none" w:sz="0" w:space="0" w:color="auto"/>
        <w:left w:val="none" w:sz="0" w:space="0" w:color="auto"/>
        <w:bottom w:val="none" w:sz="0" w:space="0" w:color="auto"/>
        <w:right w:val="none" w:sz="0" w:space="0" w:color="auto"/>
      </w:divBdr>
    </w:div>
    <w:div w:id="19760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agh.edu.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15</Pages>
  <Words>4803</Words>
  <Characters>29986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34720</CharactersWithSpaces>
  <SharedDoc>false</SharedDoc>
  <HLinks>
    <vt:vector size="6" baseType="variant">
      <vt:variant>
        <vt:i4>2031731</vt:i4>
      </vt:variant>
      <vt:variant>
        <vt:i4>84</vt:i4>
      </vt:variant>
      <vt:variant>
        <vt:i4>0</vt:i4>
      </vt:variant>
      <vt:variant>
        <vt:i4>5</vt:i4>
      </vt:variant>
      <vt:variant>
        <vt:lpwstr>mailto:dzp@agh.edu.pl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Kraińska</dc:creator>
  <cp:keywords/>
  <dc:description/>
  <cp:lastModifiedBy>Joanna Kraińska</cp:lastModifiedBy>
  <cp:revision>2</cp:revision>
  <cp:lastPrinted>2019-08-14T07:03:00Z</cp:lastPrinted>
  <dcterms:created xsi:type="dcterms:W3CDTF">2019-08-14T07:03:00Z</dcterms:created>
  <dcterms:modified xsi:type="dcterms:W3CDTF">2019-08-14T07:03:00Z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