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386" w:rsidRDefault="001E2C3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C31386" w:rsidRDefault="00C31386">
      <w:pPr>
        <w:spacing w:line="360" w:lineRule="auto"/>
        <w:rPr>
          <w:sz w:val="24"/>
        </w:rPr>
      </w:pPr>
    </w:p>
    <w:p w:rsidR="00C31386" w:rsidRDefault="00D125B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C31386" w:rsidRDefault="00D125B6" w:rsidP="00C65025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81224E" w:rsidRPr="0081224E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81224E" w:rsidRPr="0081224E">
        <w:rPr>
          <w:b/>
          <w:sz w:val="28"/>
        </w:rPr>
        <w:t>Dostawa przenośnego analizatora oraz</w:t>
      </w:r>
      <w:r w:rsidR="00E50D26">
        <w:rPr>
          <w:b/>
          <w:sz w:val="28"/>
        </w:rPr>
        <w:t xml:space="preserve"> generatora sygnałów testowych</w:t>
      </w:r>
      <w:r w:rsidR="0081224E" w:rsidRPr="0081224E">
        <w:rPr>
          <w:b/>
          <w:sz w:val="28"/>
        </w:rPr>
        <w:t xml:space="preserve">, Dostawa </w:t>
      </w:r>
      <w:r w:rsidR="001E2C30" w:rsidRPr="0081224E">
        <w:rPr>
          <w:b/>
          <w:sz w:val="28"/>
        </w:rPr>
        <w:t>stołu</w:t>
      </w:r>
      <w:r w:rsidR="0081224E" w:rsidRPr="0081224E">
        <w:rPr>
          <w:b/>
          <w:sz w:val="28"/>
        </w:rPr>
        <w:t xml:space="preserve"> wibracyjnego</w:t>
      </w:r>
      <w:r w:rsidR="00904156">
        <w:rPr>
          <w:b/>
          <w:sz w:val="28"/>
        </w:rPr>
        <w:t xml:space="preserve"> do zagęszczania próbek zaprawy</w:t>
      </w:r>
      <w:r w:rsidR="0081224E" w:rsidRPr="0081224E">
        <w:rPr>
          <w:b/>
          <w:sz w:val="28"/>
        </w:rPr>
        <w:t xml:space="preserve">  cementowej, Dostawa komory szoków termicznych</w:t>
      </w:r>
      <w:r>
        <w:rPr>
          <w:b/>
          <w:sz w:val="28"/>
        </w:rPr>
        <w:t>”</w:t>
      </w:r>
    </w:p>
    <w:p w:rsidR="00C31386" w:rsidRDefault="00C31386">
      <w:pPr>
        <w:spacing w:line="360" w:lineRule="auto"/>
        <w:ind w:hanging="284"/>
        <w:rPr>
          <w:sz w:val="24"/>
        </w:rPr>
      </w:pPr>
    </w:p>
    <w:p w:rsidR="00C31386" w:rsidRPr="004E2DCD" w:rsidRDefault="001E2C30">
      <w:pPr>
        <w:spacing w:line="360" w:lineRule="auto"/>
        <w:ind w:hanging="284"/>
        <w:rPr>
          <w:b/>
          <w:sz w:val="28"/>
          <w:szCs w:val="28"/>
          <w:u w:val="single"/>
        </w:rPr>
      </w:pPr>
      <w:r w:rsidRPr="004E2DCD">
        <w:rPr>
          <w:b/>
          <w:sz w:val="28"/>
          <w:szCs w:val="28"/>
          <w:u w:val="single"/>
        </w:rPr>
        <w:t>Zadanie nr 1</w:t>
      </w:r>
    </w:p>
    <w:p w:rsidR="001E2C30" w:rsidRPr="004E2DCD" w:rsidRDefault="001E2C30">
      <w:pPr>
        <w:spacing w:line="360" w:lineRule="auto"/>
        <w:ind w:hanging="284"/>
        <w:rPr>
          <w:b/>
          <w:sz w:val="28"/>
          <w:szCs w:val="28"/>
          <w:u w:val="single"/>
        </w:rPr>
      </w:pPr>
      <w:r w:rsidRPr="004E2DCD">
        <w:rPr>
          <w:b/>
          <w:sz w:val="28"/>
          <w:szCs w:val="28"/>
          <w:u w:val="single"/>
        </w:rPr>
        <w:t>Dostawa przenośnego analizatora oraz generatora sygnałów testowych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 xml:space="preserve">Przenośny analizator oraz generator sygnałów testowych DMI oraz </w:t>
      </w:r>
      <w:proofErr w:type="spellStart"/>
      <w:r w:rsidRPr="001E2C30">
        <w:rPr>
          <w:sz w:val="24"/>
          <w:szCs w:val="24"/>
        </w:rPr>
        <w:t>HDBaseT</w:t>
      </w:r>
      <w:proofErr w:type="spellEnd"/>
      <w:r w:rsidRPr="001E2C30">
        <w:rPr>
          <w:sz w:val="24"/>
          <w:szCs w:val="24"/>
        </w:rPr>
        <w:t xml:space="preserve">, analogowych sygnałów video/audio oraz 3G-SDI. Tryb pracy jako urządzenie wejściowe lub wyjściowe umożliwiające testowanie i analizę cyfrowych źródeł sygnałów, urządzeń końcowych oraz urządzeń pośredniczących w dystrybucji sygnału.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b/>
          <w:sz w:val="24"/>
          <w:szCs w:val="24"/>
          <w:u w:val="single"/>
        </w:rPr>
        <w:t>Sygnały testowe video</w:t>
      </w:r>
      <w:r w:rsidRPr="001E2C30">
        <w:rPr>
          <w:b/>
          <w:sz w:val="24"/>
          <w:szCs w:val="24"/>
        </w:rPr>
        <w:t xml:space="preserve"> </w:t>
      </w:r>
      <w:r w:rsidRPr="001E2C30">
        <w:rPr>
          <w:sz w:val="24"/>
          <w:szCs w:val="24"/>
        </w:rPr>
        <w:t xml:space="preserve">- wzorce podstawowe (w tym zestaw wzorców 3D)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 xml:space="preserve">       - ilość nie mniej niż:  24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W tym: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Color Bars ( full, split, horizontal, vertical ), temp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barw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od do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Ramp/Stair Patterns ( vertical, horizontal, bars( 5, 11, 21 ), color( RGB, CMYK ) ) 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Geometry/Resolution Patterns( grid, linearity,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overscan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PGCWRGB( wzór ruchomych pasów do oceny szumów wyświetlaczy analogowych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wzorce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do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oceny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geometrii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oraz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rozdzielczości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( grid( white on black/ black on white ), linearity,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overscan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EMI/ Grill -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efekt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mory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obrazie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(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typ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“H”, vertical lines, color bars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>Focus pattern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Multi-</w:t>
      </w:r>
      <w:proofErr w:type="spellStart"/>
      <w:r w:rsidRPr="001E2C30">
        <w:rPr>
          <w:rFonts w:ascii="Times New Roman" w:hAnsi="Times New Roman"/>
          <w:sz w:val="24"/>
          <w:szCs w:val="24"/>
        </w:rPr>
        <w:t>burst</w:t>
      </w:r>
      <w:proofErr w:type="spellEnd"/>
      <w:r w:rsidRPr="001E2C30">
        <w:rPr>
          <w:rFonts w:ascii="Times New Roman" w:hAnsi="Times New Roman"/>
          <w:sz w:val="24"/>
          <w:szCs w:val="24"/>
        </w:rPr>
        <w:t>( zdolność wyświetlacza do odwzorowania ostrych krawędzi linii bez zmian jasności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test ostrości,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test zbieżności,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pseudo </w:t>
      </w:r>
      <w:proofErr w:type="spellStart"/>
      <w:r w:rsidRPr="001E2C30">
        <w:rPr>
          <w:rFonts w:ascii="Times New Roman" w:hAnsi="Times New Roman"/>
          <w:sz w:val="24"/>
          <w:szCs w:val="24"/>
        </w:rPr>
        <w:t>random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</w:rPr>
        <w:t>pixel</w:t>
      </w:r>
      <w:proofErr w:type="spellEnd"/>
      <w:r w:rsidRPr="001E2C30">
        <w:rPr>
          <w:rFonts w:ascii="Times New Roman" w:hAnsi="Times New Roman"/>
          <w:sz w:val="24"/>
          <w:szCs w:val="24"/>
        </w:rPr>
        <w:t>( test błędów spowodowanych jakością kabla HDMI )</w:t>
      </w:r>
    </w:p>
    <w:p w:rsidR="001E2C30" w:rsidRPr="001E2C30" w:rsidRDefault="001E2C30" w:rsidP="001E2C30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Indywidualne tworzenie obrazów testowych w oparciu o wzorce podstawowe i sygnały zewnętrzne.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Sygnały testowe audio:</w:t>
      </w:r>
    </w:p>
    <w:p w:rsidR="001E2C30" w:rsidRPr="001E2C30" w:rsidRDefault="001E2C30" w:rsidP="001E2C3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szum różowy - wyjścia HDMI,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>, SPDIF, SDI, optyczne</w:t>
      </w:r>
    </w:p>
    <w:p w:rsidR="001E2C30" w:rsidRPr="001E2C30" w:rsidRDefault="001E2C30" w:rsidP="001E2C3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sygnał sinusoidalny o </w:t>
      </w:r>
      <w:proofErr w:type="spellStart"/>
      <w:r w:rsidRPr="001E2C30">
        <w:rPr>
          <w:rFonts w:ascii="Times New Roman" w:hAnsi="Times New Roman"/>
          <w:sz w:val="24"/>
          <w:szCs w:val="24"/>
        </w:rPr>
        <w:t>częst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. 63Hz, 125Hz, 1kHz, 4KHz - wyjścia HDMI,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>, SPDIF, SDI, optyczne</w:t>
      </w:r>
    </w:p>
    <w:p w:rsidR="001E2C30" w:rsidRPr="001E2C30" w:rsidRDefault="001E2C30" w:rsidP="001E2C3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sygnał sinusoidalny PCM o programowanych parametrach ( dostępny dla wyjść HDMI,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>, SPDIF, SDI, optyczne )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próbkowanie - 16, 20, 24 bit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 w:rsidRPr="001E2C30">
        <w:rPr>
          <w:rFonts w:ascii="Times New Roman" w:hAnsi="Times New Roman"/>
          <w:sz w:val="24"/>
          <w:szCs w:val="24"/>
        </w:rPr>
        <w:t>częst</w:t>
      </w:r>
      <w:proofErr w:type="spellEnd"/>
      <w:r w:rsidRPr="001E2C30">
        <w:rPr>
          <w:rFonts w:ascii="Times New Roman" w:hAnsi="Times New Roman"/>
          <w:sz w:val="24"/>
          <w:szCs w:val="24"/>
        </w:rPr>
        <w:t>. próbkowania ( kHz ) - 32, 44.2, 48, 88.2, 96, 176.4, 192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lastRenderedPageBreak/>
        <w:t>kanały - 2.0, 2.1, 5.1, 6.1, 7.1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poziom wyjściowy ( </w:t>
      </w:r>
      <w:proofErr w:type="spellStart"/>
      <w:r w:rsidRPr="001E2C30">
        <w:rPr>
          <w:rFonts w:ascii="Times New Roman" w:hAnsi="Times New Roman"/>
          <w:sz w:val="24"/>
          <w:szCs w:val="24"/>
        </w:rPr>
        <w:t>dB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) - 0 do -99dB regulowany co 1dB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- 0.01kHz do 20Khz regulowana w krokach co 1Hz, 10Hz, 10Hz, 1kHz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funkcja MUTE ( dla każdego kanału )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Sygnał HDMI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zgodność z standardem HDMI 2.0a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złącza wejścia/wyjścia : Typ A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obsługa formatu VESA ( DMT, CVT-R, CVT ), CEA ( HDMI/DVI ),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zegar </w:t>
      </w:r>
      <w:proofErr w:type="spellStart"/>
      <w:r w:rsidRPr="001E2C30">
        <w:rPr>
          <w:rFonts w:ascii="Times New Roman" w:hAnsi="Times New Roman"/>
          <w:sz w:val="24"/>
          <w:szCs w:val="24"/>
        </w:rPr>
        <w:t>PixelRate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: 300MHz ( 3.00 </w:t>
      </w:r>
      <w:proofErr w:type="spellStart"/>
      <w:r w:rsidRPr="001E2C30">
        <w:rPr>
          <w:rFonts w:ascii="Times New Roman" w:hAnsi="Times New Roman"/>
          <w:sz w:val="24"/>
          <w:szCs w:val="24"/>
        </w:rPr>
        <w:t>Gpbs</w:t>
      </w:r>
      <w:proofErr w:type="spellEnd"/>
      <w:r w:rsidRPr="001E2C30">
        <w:rPr>
          <w:rFonts w:ascii="Times New Roman" w:hAnsi="Times New Roman"/>
          <w:sz w:val="24"/>
          <w:szCs w:val="24"/>
        </w:rPr>
        <w:t>/kanał TMDS ),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głębia koloru : 8,10,12 bitów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kodowanie wideo - RGB, </w:t>
      </w:r>
      <w:proofErr w:type="spellStart"/>
      <w:r w:rsidRPr="001E2C30">
        <w:rPr>
          <w:rFonts w:ascii="Times New Roman" w:hAnsi="Times New Roman"/>
          <w:sz w:val="24"/>
          <w:szCs w:val="24"/>
        </w:rPr>
        <w:t>YCbCr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; 4:4:4, 4:4:2, 4:2:0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obsługa HDCP w wersji 1.4,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zgodność audio z formatami : LPCM, Dolby( DD, DD+, </w:t>
      </w:r>
      <w:proofErr w:type="spellStart"/>
      <w:r w:rsidRPr="001E2C30">
        <w:rPr>
          <w:rFonts w:ascii="Times New Roman" w:hAnsi="Times New Roman"/>
          <w:sz w:val="24"/>
          <w:szCs w:val="24"/>
        </w:rPr>
        <w:t>TrueHD</w:t>
      </w:r>
      <w:proofErr w:type="spellEnd"/>
      <w:r w:rsidRPr="001E2C30">
        <w:rPr>
          <w:rFonts w:ascii="Times New Roman" w:hAnsi="Times New Roman"/>
          <w:sz w:val="24"/>
          <w:szCs w:val="24"/>
        </w:rPr>
        <w:t>), DTS,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próbkowania: 32-192kHz, rozdzielczość - 16, 20, 24 bit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 xml:space="preserve">Analizator sygnału HDMI 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Parametry sygnałów wyjściowych: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 xml:space="preserve">Sygnał </w:t>
      </w:r>
      <w:proofErr w:type="spellStart"/>
      <w:r w:rsidRPr="001E2C30">
        <w:rPr>
          <w:b/>
          <w:sz w:val="24"/>
          <w:szCs w:val="24"/>
          <w:u w:val="single"/>
        </w:rPr>
        <w:t>HDBaseT</w:t>
      </w:r>
      <w:proofErr w:type="spellEnd"/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zgodność z wersją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1.0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rodzaj złącz : 8P8C ( RJ45 )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zegar </w:t>
      </w:r>
      <w:proofErr w:type="spellStart"/>
      <w:r w:rsidRPr="001E2C30">
        <w:rPr>
          <w:rFonts w:ascii="Times New Roman" w:hAnsi="Times New Roman"/>
          <w:sz w:val="24"/>
          <w:szCs w:val="24"/>
        </w:rPr>
        <w:t>PixelRate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: 300MHz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E2C30">
        <w:rPr>
          <w:rFonts w:ascii="Times New Roman" w:hAnsi="Times New Roman"/>
          <w:sz w:val="24"/>
          <w:szCs w:val="24"/>
        </w:rPr>
        <w:t>głebia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koloru : 8, 10, 12 bitów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kodowanie wideo - RGB, </w:t>
      </w:r>
      <w:proofErr w:type="spellStart"/>
      <w:r w:rsidRPr="001E2C30">
        <w:rPr>
          <w:rFonts w:ascii="Times New Roman" w:hAnsi="Times New Roman"/>
          <w:sz w:val="24"/>
          <w:szCs w:val="24"/>
        </w:rPr>
        <w:t>YCbCr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; 4:4:4, 4:4:2, 4:2:0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obsługa HDCP w wersji 1.4,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zgodność audio z formatami : LPCM, Dolby( DD, DD+, </w:t>
      </w:r>
      <w:proofErr w:type="spellStart"/>
      <w:r w:rsidRPr="001E2C30">
        <w:rPr>
          <w:rFonts w:ascii="Times New Roman" w:hAnsi="Times New Roman"/>
          <w:sz w:val="24"/>
          <w:szCs w:val="24"/>
        </w:rPr>
        <w:t>TrueHD</w:t>
      </w:r>
      <w:proofErr w:type="spellEnd"/>
      <w:r w:rsidRPr="001E2C30">
        <w:rPr>
          <w:rFonts w:ascii="Times New Roman" w:hAnsi="Times New Roman"/>
          <w:sz w:val="24"/>
          <w:szCs w:val="24"/>
        </w:rPr>
        <w:t>), DTS,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próbkowania: 32-192kHz, rozdzielczość - 16, 20, 24 bit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Sygnał 3G-SDI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wersja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: SMPTE 259M, 344M, 292M, 372M, 424M Level A (Level B -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opcja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)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złącze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: BNC 75 ohm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pasmo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sygnału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video : SDI: 360Mb/s; HD-SDI: 1.485Gbps; 3G-SDI: 2.97Gbps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próbkowanie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: 10 bits/component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kodowanie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video :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YCbCr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- 4:4:2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audio : 8 kanałów LPCM; częstotliwość próbkowania (32 – 192 kHz); rozdzielczość (16, 20, 24 bit )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Cyfrowy sygnał AUDIO</w:t>
      </w:r>
    </w:p>
    <w:p w:rsidR="001E2C30" w:rsidRPr="001E2C30" w:rsidRDefault="001E2C30" w:rsidP="001E2C30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złącze optyczne ( JIS FOS ), SPDIF ( RCA )</w:t>
      </w:r>
    </w:p>
    <w:p w:rsidR="001E2C30" w:rsidRPr="001E2C30" w:rsidRDefault="001E2C30" w:rsidP="001E2C30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formaty : LPCM, Dolby (DD, DD+), DTS (ES, HD)</w:t>
      </w:r>
    </w:p>
    <w:p w:rsidR="001E2C30" w:rsidRPr="001E2C30" w:rsidRDefault="001E2C30" w:rsidP="001E2C30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próbkowania (32 – 192 kHz); rozdzielczość (16, 20, 24 bit )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 xml:space="preserve">Analogowy sygnał VGA / VIDEO </w:t>
      </w:r>
      <w:proofErr w:type="spellStart"/>
      <w:r w:rsidRPr="001E2C30">
        <w:rPr>
          <w:b/>
          <w:sz w:val="24"/>
          <w:szCs w:val="24"/>
          <w:u w:val="single"/>
        </w:rPr>
        <w:t>Composite</w:t>
      </w:r>
      <w:proofErr w:type="spellEnd"/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złącze VGA HD-15</w:t>
      </w:r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formaty VESA, CEA</w:t>
      </w:r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standard : RGB, </w:t>
      </w:r>
      <w:proofErr w:type="spellStart"/>
      <w:r w:rsidRPr="001E2C30">
        <w:rPr>
          <w:rFonts w:ascii="Times New Roman" w:hAnsi="Times New Roman"/>
          <w:sz w:val="24"/>
          <w:szCs w:val="24"/>
        </w:rPr>
        <w:t>YPbPr</w:t>
      </w:r>
      <w:proofErr w:type="spellEnd"/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lastRenderedPageBreak/>
        <w:t>pasmo przenoszenia - nie mniej niż 80MHz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Parametry urządzenia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wbudowany wyświetlacz dotykowy - rozdzielczość 800x480/24 bit RGB kolor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złącze interfejsu: USB typ B, RS232- opis protokołów zarządzających 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złącze SD Card do zapisu indywidualnych struktur testów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wymiary ( nie więcej niż ) : wysokość 7cm, szerokość 25cm, głębokość 16 cm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waga ( nie więcej niż )  1.5 kg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temp. Pracy 0 - 40 st. C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b/>
          <w:sz w:val="24"/>
          <w:szCs w:val="24"/>
          <w:u w:val="single"/>
        </w:rPr>
        <w:t>Wymagane akcesoria:</w:t>
      </w:r>
      <w:r w:rsidRPr="001E2C30">
        <w:rPr>
          <w:sz w:val="24"/>
          <w:szCs w:val="24"/>
        </w:rPr>
        <w:t xml:space="preserve">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 xml:space="preserve">-zasilacz zewnętrzny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-komplet okablowania wideo (VGA, HDMI,HDTV, RCA)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-komplet okablowania  audio (RCA, RCA SPDIF , optyczne TOSLINK)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-komplet adapterów  wideo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 komplet do testowania struktur  okablowania</w:t>
      </w:r>
    </w:p>
    <w:p w:rsidR="001E2C30" w:rsidRDefault="001E2C30" w:rsidP="00D125B6">
      <w:pPr>
        <w:spacing w:line="360" w:lineRule="auto"/>
        <w:rPr>
          <w:sz w:val="24"/>
        </w:rPr>
      </w:pPr>
    </w:p>
    <w:p w:rsidR="001E2C30" w:rsidRPr="00904156" w:rsidRDefault="001E2C30">
      <w:pPr>
        <w:spacing w:line="360" w:lineRule="auto"/>
        <w:ind w:hanging="284"/>
        <w:rPr>
          <w:b/>
          <w:sz w:val="24"/>
          <w:szCs w:val="24"/>
          <w:u w:val="single"/>
        </w:rPr>
      </w:pPr>
      <w:r w:rsidRPr="00904156">
        <w:rPr>
          <w:b/>
          <w:sz w:val="24"/>
          <w:szCs w:val="24"/>
          <w:u w:val="single"/>
        </w:rPr>
        <w:t xml:space="preserve">Zadanie nr 5 </w:t>
      </w:r>
    </w:p>
    <w:p w:rsidR="00904156" w:rsidRPr="00904156" w:rsidRDefault="00904156">
      <w:pPr>
        <w:spacing w:line="360" w:lineRule="auto"/>
        <w:ind w:hanging="284"/>
        <w:rPr>
          <w:b/>
          <w:sz w:val="24"/>
          <w:szCs w:val="24"/>
          <w:u w:val="single"/>
        </w:rPr>
      </w:pPr>
      <w:r w:rsidRPr="00904156">
        <w:rPr>
          <w:b/>
          <w:sz w:val="24"/>
          <w:szCs w:val="24"/>
          <w:u w:val="single"/>
        </w:rPr>
        <w:t>Dostawa stołu wibracyjnego do zagęszczania próbek zaprawy  cementowej</w:t>
      </w:r>
    </w:p>
    <w:p w:rsidR="00904156" w:rsidRPr="00904156" w:rsidRDefault="00904156">
      <w:pPr>
        <w:spacing w:line="360" w:lineRule="auto"/>
        <w:ind w:hanging="284"/>
        <w:rPr>
          <w:b/>
          <w:sz w:val="24"/>
          <w:szCs w:val="24"/>
          <w:u w:val="single"/>
        </w:rPr>
      </w:pP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Przedmiotem zamówienia jest dostawa  stołu wibracyjnego przeznaczonego do przygotowywania próbek zapraw cementowych.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Podstawowe parametry urządzenia :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Zgodność z Normą PN-EN 196-1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Wymiary urządzenia: ok. 430x430x1050 mm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Panel sterujący z cyfrowym wyświetlaczem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</w:t>
      </w:r>
      <w:proofErr w:type="spellStart"/>
      <w:r w:rsidRPr="00904156">
        <w:rPr>
          <w:sz w:val="24"/>
        </w:rPr>
        <w:t>Timer</w:t>
      </w:r>
      <w:proofErr w:type="spellEnd"/>
      <w:r w:rsidRPr="00904156">
        <w:rPr>
          <w:sz w:val="24"/>
        </w:rPr>
        <w:t xml:space="preserve"> umożliwiający automatyczne wyłączenie urządzenia po określonej ilości uderzeń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Wstrząsarka magnetyczna - max. zakres: 3000 uderzeń/min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Regulowana amplituda od 0,4 do 1,0 mm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Waga: 150/200 kg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Zasilanie: 230 V, 50 </w:t>
      </w:r>
      <w:proofErr w:type="spellStart"/>
      <w:r w:rsidRPr="00904156">
        <w:rPr>
          <w:sz w:val="24"/>
        </w:rPr>
        <w:t>Hz</w:t>
      </w:r>
      <w:proofErr w:type="spellEnd"/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 xml:space="preserve">- Konstrukcja - stalowa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- Kompletne urządzenie powinno zawierać :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Forma trójdzielna 40x40x160 mm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Nadstawka formy trójdzielnej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Wstrząsarka do formy trójdzielnej 40x40x160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</w:p>
    <w:p w:rsidR="00904156" w:rsidRPr="00904156" w:rsidRDefault="00733732" w:rsidP="00904156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Dostawa obejmuje również </w:t>
      </w:r>
      <w:r w:rsidR="00904156" w:rsidRPr="00904156">
        <w:rPr>
          <w:sz w:val="24"/>
        </w:rPr>
        <w:t xml:space="preserve"> wykonanie przezroczystej osłony z PCV wraz drzwiczkami </w:t>
      </w:r>
    </w:p>
    <w:p w:rsidR="00904156" w:rsidRP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lastRenderedPageBreak/>
        <w:t>( osłona ma na celu zapobiec rozbryzgowi zaprawy poza obszar urządzenia )</w:t>
      </w:r>
    </w:p>
    <w:p w:rsidR="00904156" w:rsidRDefault="00904156" w:rsidP="00904156">
      <w:pPr>
        <w:spacing w:line="360" w:lineRule="auto"/>
        <w:ind w:hanging="284"/>
        <w:rPr>
          <w:sz w:val="24"/>
        </w:rPr>
      </w:pPr>
      <w:r w:rsidRPr="00904156">
        <w:rPr>
          <w:sz w:val="24"/>
        </w:rPr>
        <w:t>Gwarancja – co najmniej 1 rok na wszystkie elementy</w:t>
      </w:r>
    </w:p>
    <w:p w:rsidR="00733732" w:rsidRPr="00904156" w:rsidRDefault="00733732" w:rsidP="00904156">
      <w:pPr>
        <w:spacing w:line="360" w:lineRule="auto"/>
        <w:ind w:hanging="284"/>
        <w:rPr>
          <w:sz w:val="24"/>
        </w:rPr>
      </w:pPr>
    </w:p>
    <w:p w:rsidR="000D1948" w:rsidRPr="000D1948" w:rsidRDefault="001E2C30">
      <w:pPr>
        <w:spacing w:line="360" w:lineRule="auto"/>
        <w:ind w:hanging="284"/>
        <w:rPr>
          <w:b/>
          <w:sz w:val="24"/>
          <w:u w:val="single"/>
        </w:rPr>
      </w:pPr>
      <w:r w:rsidRPr="000D1948">
        <w:rPr>
          <w:b/>
          <w:sz w:val="24"/>
          <w:u w:val="single"/>
        </w:rPr>
        <w:t>Zadanie nr 6</w:t>
      </w:r>
    </w:p>
    <w:p w:rsidR="000D1948" w:rsidRPr="000D1948" w:rsidRDefault="000D1948">
      <w:pPr>
        <w:spacing w:line="360" w:lineRule="auto"/>
        <w:ind w:hanging="284"/>
        <w:rPr>
          <w:b/>
          <w:sz w:val="24"/>
          <w:u w:val="single"/>
        </w:rPr>
      </w:pPr>
      <w:r w:rsidRPr="000D1948">
        <w:rPr>
          <w:b/>
          <w:color w:val="272727"/>
          <w:sz w:val="24"/>
          <w:szCs w:val="24"/>
          <w:u w:val="single"/>
          <w:shd w:val="clear" w:color="auto" w:fill="FFFFFF"/>
        </w:rPr>
        <w:t>Dostawa komory szoków termicznych</w:t>
      </w:r>
    </w:p>
    <w:p w:rsidR="001E2C30" w:rsidRPr="00052C40" w:rsidRDefault="000D1948" w:rsidP="00052C40">
      <w:pPr>
        <w:spacing w:line="360" w:lineRule="auto"/>
        <w:ind w:hanging="284"/>
        <w:rPr>
          <w:b/>
          <w:sz w:val="24"/>
          <w:szCs w:val="24"/>
        </w:rPr>
      </w:pPr>
      <w:r w:rsidRPr="000D1948">
        <w:rPr>
          <w:color w:val="272727"/>
          <w:sz w:val="24"/>
          <w:szCs w:val="24"/>
          <w:shd w:val="clear" w:color="auto" w:fill="FFFFFF"/>
        </w:rPr>
        <w:t>Komora szoków termicznych o pojemności komory roboczej 10,9 litra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Podstawowe własności techniczne: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2 komory przygotowania temperatury – ciepła i zimna, wykonywanie szoków poprzez transport kosza na próbki pomiędzy komorami ciepła i zimna, napęd elektryczny,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Zakres regulacji temperatury: (Definicja parametrów zgodnie z normą PN-EN 60068-3-5, dla temperatury / wilgotności otoczenia +23 °C / 65 %RH, dla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pustej komory, nominalnego napięcia zasilania)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Zakres temperatury szoku dla komory zimna: od 0 °C do -65 °C,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Zakres temperatury szoku dla komory ciepła: od +60 °C do +200 °C,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Minimalna temperatura komory zimna -82 °C,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Maksymalna temperatura komory ciepła +200 °C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Czasowa stabilność temperatury1 ± 0,5 °C,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Szybkość grzania – 30 minut od temperatury otoczenia do +200 °C,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Szybkość chłodzenia – 90 minut od temperatury otoczenia do -80 °C.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Gwarantowane parametry szoku termicznego: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 xml:space="preserve">- Temperatura dodatnia +150 °C – 30 minut, </w:t>
      </w:r>
      <w:proofErr w:type="spellStart"/>
      <w:r w:rsidRPr="000D1948">
        <w:rPr>
          <w:color w:val="272727"/>
          <w:sz w:val="24"/>
          <w:szCs w:val="24"/>
          <w:shd w:val="clear" w:color="auto" w:fill="FFFFFF"/>
        </w:rPr>
        <w:t>temperat</w:t>
      </w:r>
      <w:proofErr w:type="spellEnd"/>
      <w:r w:rsidRPr="000D1948">
        <w:rPr>
          <w:color w:val="272727"/>
          <w:sz w:val="24"/>
          <w:szCs w:val="24"/>
          <w:shd w:val="clear" w:color="auto" w:fill="FFFFFF"/>
        </w:rPr>
        <w:t xml:space="preserve"> </w:t>
      </w:r>
      <w:proofErr w:type="spellStart"/>
      <w:r w:rsidRPr="000D1948">
        <w:rPr>
          <w:color w:val="272727"/>
          <w:sz w:val="24"/>
          <w:szCs w:val="24"/>
          <w:shd w:val="clear" w:color="auto" w:fill="FFFFFF"/>
        </w:rPr>
        <w:t>ura</w:t>
      </w:r>
      <w:proofErr w:type="spellEnd"/>
      <w:r w:rsidRPr="000D1948">
        <w:rPr>
          <w:color w:val="272727"/>
          <w:sz w:val="24"/>
          <w:szCs w:val="24"/>
          <w:shd w:val="clear" w:color="auto" w:fill="FFFFFF"/>
        </w:rPr>
        <w:t xml:space="preserve"> ujemna -65 °C – 30 minut, czas uzyskiwania temperatury szoku nie dłuższy niż 5 minut dla masy testowej 2 kg (układy scalone w obudowach z tworzywa),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Komora spełnia wymagania normy MIL-STD-883E (Method No. 1010.7),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Pojemność komory roboczej (kosza) 10,9 litra,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Wymiary komory roboczej: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Szerokość – 320 mm,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Wysokość – 148 mm,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Głębokość – 230 mm,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Wymiary zewnętrzne: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Szerokość – 680 mm,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Wysokość – 1625 mm,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Głębokość – 1050 mm,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lastRenderedPageBreak/>
        <w:t>· Komora robocza wykonana ze stali nierdzewnej,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Maksymalne obciążenie komory roboczej – 8 kg równo rozłożone,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Zawarte wyposażenie: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2 pary wsporników na koszyki (ustalone położenie),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2 koszyki na próbki, 320 x 230 x 35 mm, obciążalność 2 kg równo rozłożone,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Przepust 50 mm w prawej ścianie komory,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Licznik godzin pracy,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Programowane termostaty zabezpieczające dla górnej i dolnej temperatury,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Kółka jezdne i nóżki z regulacją poziomu.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· Mikroprocesorowy kontroler: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Dotykowy kolorowy ekran LCD TFT 7",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Kontrola temperatur: komory testowej, komory przygotowania dla temperatury ujemnej, komory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przygotowania dla temperatury dodatniej, rozdzielczość ustawiania i odczytu temperatury 1 °C,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Zakres ustawiania czasu cyklu od 0 do 99 godzin 59 minut,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Zakres ustawiania licznika cykli od 1 do 9999,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- 10 gotowych programy testów,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Możliwość wpisania 40 programów użytkownika,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Port Ethernet, możliwość monitorowania i kontroli komory przez sieć komputerową i Internet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- port USB do transferu danych,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Dwustopniowy układ chłodniczy chłodzony powietrzem, moc kompresorów 2 x 1.5 kW, środki chłodnicze R452A,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 xml:space="preserve">· Poziom hałasu2 60 </w:t>
      </w:r>
      <w:proofErr w:type="spellStart"/>
      <w:r w:rsidRPr="000D1948">
        <w:rPr>
          <w:color w:val="272727"/>
          <w:sz w:val="24"/>
          <w:szCs w:val="24"/>
          <w:shd w:val="clear" w:color="auto" w:fill="FFFFFF"/>
        </w:rPr>
        <w:t>dB</w:t>
      </w:r>
      <w:proofErr w:type="spellEnd"/>
      <w:r w:rsidRPr="000D1948">
        <w:rPr>
          <w:color w:val="272727"/>
          <w:sz w:val="24"/>
          <w:szCs w:val="24"/>
          <w:shd w:val="clear" w:color="auto" w:fill="FFFFFF"/>
        </w:rPr>
        <w:t>(A) maks.,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 xml:space="preserve">· Zasilanie 3 x 400 V / 50 </w:t>
      </w:r>
      <w:proofErr w:type="spellStart"/>
      <w:r w:rsidRPr="000D1948">
        <w:rPr>
          <w:color w:val="272727"/>
          <w:sz w:val="24"/>
          <w:szCs w:val="24"/>
          <w:shd w:val="clear" w:color="auto" w:fill="FFFFFF"/>
        </w:rPr>
        <w:t>Hz</w:t>
      </w:r>
      <w:proofErr w:type="spellEnd"/>
      <w:r w:rsidRPr="000D1948">
        <w:rPr>
          <w:color w:val="272727"/>
          <w:sz w:val="24"/>
          <w:szCs w:val="24"/>
          <w:shd w:val="clear" w:color="auto" w:fill="FFFFFF"/>
        </w:rPr>
        <w:t>, 17 A,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 xml:space="preserve">Interfejs RS-232 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Dodatkowy koszyk na próbki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  <w:shd w:val="clear" w:color="auto" w:fill="FFFFFF"/>
        </w:rPr>
        <w:t>Uruchomienie, przeszkolenie w obsłudze – bezpłatnie przez serwis dostawcy, instrukcje obsługi w języku polskim i angielskim na płycie CD</w:t>
      </w:r>
      <w:r w:rsidRPr="000D1948">
        <w:rPr>
          <w:color w:val="272727"/>
          <w:sz w:val="24"/>
          <w:szCs w:val="24"/>
        </w:rPr>
        <w:br/>
      </w:r>
      <w:r w:rsidRPr="000D1948">
        <w:rPr>
          <w:color w:val="272727"/>
          <w:sz w:val="24"/>
          <w:szCs w:val="24"/>
        </w:rPr>
        <w:br/>
      </w:r>
      <w:bookmarkStart w:id="0" w:name="_GoBack"/>
      <w:bookmarkEnd w:id="0"/>
    </w:p>
    <w:sectPr w:rsidR="001E2C30" w:rsidRPr="00052C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417" w:rsidRDefault="00504417">
      <w:r>
        <w:separator/>
      </w:r>
    </w:p>
  </w:endnote>
  <w:endnote w:type="continuationSeparator" w:id="0">
    <w:p w:rsidR="00504417" w:rsidRDefault="0050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D125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31386" w:rsidRDefault="00C3138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1386" w:rsidRDefault="00C31386">
    <w:pPr>
      <w:pStyle w:val="Stopka"/>
      <w:tabs>
        <w:tab w:val="clear" w:pos="4536"/>
      </w:tabs>
      <w:jc w:val="center"/>
    </w:pPr>
  </w:p>
  <w:p w:rsidR="00C31386" w:rsidRDefault="00D125B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52C40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52C40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1386" w:rsidRDefault="00C31386">
    <w:pPr>
      <w:pStyle w:val="Stopka"/>
      <w:tabs>
        <w:tab w:val="clear" w:pos="4536"/>
      </w:tabs>
      <w:jc w:val="center"/>
    </w:pPr>
  </w:p>
  <w:p w:rsidR="00C31386" w:rsidRDefault="00D125B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19BF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417" w:rsidRDefault="00504417">
      <w:r>
        <w:separator/>
      </w:r>
    </w:p>
  </w:footnote>
  <w:footnote w:type="continuationSeparator" w:id="0">
    <w:p w:rsidR="00504417" w:rsidRDefault="00504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24E" w:rsidRDefault="008122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24E" w:rsidRDefault="008122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75F11"/>
    <w:multiLevelType w:val="hybridMultilevel"/>
    <w:tmpl w:val="A42EFDF2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518F0"/>
    <w:multiLevelType w:val="hybridMultilevel"/>
    <w:tmpl w:val="B73A9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C7D68"/>
    <w:multiLevelType w:val="hybridMultilevel"/>
    <w:tmpl w:val="C19E561C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741DB"/>
    <w:multiLevelType w:val="hybridMultilevel"/>
    <w:tmpl w:val="8742744A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D631E"/>
    <w:multiLevelType w:val="hybridMultilevel"/>
    <w:tmpl w:val="688C42D0"/>
    <w:lvl w:ilvl="0" w:tplc="4D46E324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9DE1256"/>
    <w:multiLevelType w:val="hybridMultilevel"/>
    <w:tmpl w:val="1A8A7B5A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E5664"/>
    <w:multiLevelType w:val="hybridMultilevel"/>
    <w:tmpl w:val="E214A6B4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C1B0A"/>
    <w:multiLevelType w:val="hybridMultilevel"/>
    <w:tmpl w:val="03BEF336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158F3"/>
    <w:multiLevelType w:val="hybridMultilevel"/>
    <w:tmpl w:val="66681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308E5"/>
    <w:multiLevelType w:val="hybridMultilevel"/>
    <w:tmpl w:val="F1481FC6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BF2"/>
    <w:rsid w:val="00007C8D"/>
    <w:rsid w:val="00052C40"/>
    <w:rsid w:val="000D1948"/>
    <w:rsid w:val="001E2C30"/>
    <w:rsid w:val="00276FCC"/>
    <w:rsid w:val="002B67A5"/>
    <w:rsid w:val="0033324A"/>
    <w:rsid w:val="0038749E"/>
    <w:rsid w:val="004E2DCD"/>
    <w:rsid w:val="004E5BF2"/>
    <w:rsid w:val="00504417"/>
    <w:rsid w:val="00733732"/>
    <w:rsid w:val="00750F0F"/>
    <w:rsid w:val="007A565A"/>
    <w:rsid w:val="00805703"/>
    <w:rsid w:val="0081224E"/>
    <w:rsid w:val="00835FF9"/>
    <w:rsid w:val="00904156"/>
    <w:rsid w:val="0092668A"/>
    <w:rsid w:val="00A10659"/>
    <w:rsid w:val="00A2470B"/>
    <w:rsid w:val="00B4189B"/>
    <w:rsid w:val="00C238D5"/>
    <w:rsid w:val="00C31386"/>
    <w:rsid w:val="00C65025"/>
    <w:rsid w:val="00D125B6"/>
    <w:rsid w:val="00D14A76"/>
    <w:rsid w:val="00D17702"/>
    <w:rsid w:val="00E419BF"/>
    <w:rsid w:val="00E50D26"/>
    <w:rsid w:val="00E6705D"/>
    <w:rsid w:val="00F5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36F1F-90EF-450F-B1F9-48807C0B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Bezodstpw">
    <w:name w:val="No Spacing"/>
    <w:uiPriority w:val="1"/>
    <w:qFormat/>
    <w:rsid w:val="001E2C30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E2C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07C8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9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1266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4</cp:revision>
  <cp:lastPrinted>2019-08-05T09:01:00Z</cp:lastPrinted>
  <dcterms:created xsi:type="dcterms:W3CDTF">2019-09-03T11:31:00Z</dcterms:created>
  <dcterms:modified xsi:type="dcterms:W3CDTF">2019-09-03T11:33:00Z</dcterms:modified>
</cp:coreProperties>
</file>