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F2C" w:rsidRPr="00976D0C" w:rsidRDefault="00E8699A" w:rsidP="00E8699A">
      <w:pPr>
        <w:jc w:val="right"/>
        <w:rPr>
          <w:rFonts w:ascii="Times New Roman" w:hAnsi="Times New Roman" w:cs="Times New Roman"/>
          <w:color w:val="000000" w:themeColor="text1"/>
        </w:rPr>
      </w:pPr>
      <w:r w:rsidRPr="00976D0C">
        <w:rPr>
          <w:rFonts w:ascii="Times New Roman" w:hAnsi="Times New Roman" w:cs="Times New Roman"/>
          <w:color w:val="000000" w:themeColor="text1"/>
        </w:rPr>
        <w:t xml:space="preserve">Zał. nr 2 do ogłoszenia </w:t>
      </w:r>
    </w:p>
    <w:p w:rsidR="00E8699A" w:rsidRPr="00976D0C" w:rsidRDefault="00E8699A" w:rsidP="00E8699A">
      <w:pPr>
        <w:jc w:val="right"/>
        <w:rPr>
          <w:rFonts w:ascii="Times New Roman" w:hAnsi="Times New Roman" w:cs="Times New Roman"/>
          <w:color w:val="000000" w:themeColor="text1"/>
        </w:rPr>
      </w:pPr>
    </w:p>
    <w:p w:rsidR="00E8699A" w:rsidRPr="00976D0C" w:rsidRDefault="00E8699A" w:rsidP="00E8699A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976D0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SZCZEGÓŁOWY OPIS PRZEDMIOTU ZAMÓWIENIA</w:t>
      </w:r>
    </w:p>
    <w:p w:rsidR="00E8699A" w:rsidRPr="00976D0C" w:rsidRDefault="00E8699A" w:rsidP="000624AA">
      <w:pPr>
        <w:spacing w:after="0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0624AA" w:rsidRPr="00976D0C" w:rsidRDefault="000624AA" w:rsidP="000624A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</w:pPr>
      <w:r w:rsidRPr="00976D0C"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  <w:u w:val="single"/>
        </w:rPr>
        <w:t>ZAD 4</w:t>
      </w:r>
      <w:r w:rsidRPr="00976D0C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 xml:space="preserve"> </w:t>
      </w:r>
    </w:p>
    <w:p w:rsidR="000624AA" w:rsidRPr="00976D0C" w:rsidRDefault="000624AA" w:rsidP="000624AA">
      <w:pPr>
        <w:pStyle w:val="Nagwek2"/>
        <w:spacing w:before="0" w:beforeAutospacing="0" w:after="0" w:afterAutospacing="0"/>
        <w:rPr>
          <w:color w:val="000000" w:themeColor="text1"/>
          <w:sz w:val="28"/>
        </w:rPr>
      </w:pPr>
      <w:r w:rsidRPr="00976D0C">
        <w:rPr>
          <w:color w:val="000000" w:themeColor="text1"/>
          <w:sz w:val="28"/>
        </w:rPr>
        <w:t>Ręczny os</w:t>
      </w:r>
      <w:r w:rsidRPr="00976D0C">
        <w:rPr>
          <w:color w:val="000000" w:themeColor="text1"/>
          <w:sz w:val="28"/>
        </w:rPr>
        <w:t>cyloskop przemysłowy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732"/>
        <w:gridCol w:w="211"/>
        <w:gridCol w:w="79"/>
        <w:gridCol w:w="78"/>
        <w:gridCol w:w="1364"/>
        <w:gridCol w:w="1364"/>
        <w:gridCol w:w="60"/>
        <w:gridCol w:w="3184"/>
      </w:tblGrid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Tryb oscyloskopu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Pionowo</w:t>
            </w:r>
          </w:p>
        </w:tc>
      </w:tr>
      <w:tr w:rsidR="00976D0C" w:rsidRPr="00976D0C" w:rsidTr="000E3442">
        <w:trPr>
          <w:tblCellSpacing w:w="15" w:type="dxa"/>
        </w:trPr>
        <w:tc>
          <w:tcPr>
            <w:tcW w:w="1511" w:type="pct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Charakterystyka częstotliwościowa — sprzężenie pojemnościowe DC</w:t>
            </w:r>
          </w:p>
        </w:tc>
        <w:tc>
          <w:tcPr>
            <w:tcW w:w="1657" w:type="pct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Bez sond i przewodów pomiarowych (z BB120)</w:t>
            </w:r>
          </w:p>
        </w:tc>
        <w:tc>
          <w:tcPr>
            <w:tcW w:w="1766" w:type="pct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123B: DC do 20 MHz (-3 dB)</w:t>
            </w:r>
            <w:r w:rsidRPr="00976D0C">
              <w:rPr>
                <w:rFonts w:ascii="Times New Roman" w:hAnsi="Times New Roman" w:cs="Times New Roman"/>
                <w:color w:val="000000" w:themeColor="text1"/>
              </w:rPr>
              <w:br/>
              <w:t>124B oraz 125B: DC do 40 MHz (-3 dB)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 ekranowanymi przewodami pomiarowymi STL120-IV 1:1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DC do 12,5 MHz (-3 dB) / DC do 20 MHz (-6 dB)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 sondą VP41 10:1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123B: DC do 20 MHz (-3 dB)</w:t>
            </w:r>
            <w:r w:rsidRPr="00976D0C">
              <w:rPr>
                <w:rFonts w:ascii="Times New Roman" w:hAnsi="Times New Roman" w:cs="Times New Roman"/>
                <w:color w:val="000000" w:themeColor="text1"/>
              </w:rPr>
              <w:br/>
              <w:t>124B oraz 125B: DC do 40 MHz (-3 dB)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Charakterystyka częstotliwościowa — sprzężenie pojemnościowe AC (w przypadku spadku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wzmoznienia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Bez sond i przewodów pomiarowych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&lt;10 Hz (-3 dB)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 ekranowanymi przewodami pomiarowymi STL120-IV 1:1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&lt;10 Hz (-3 dB)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 sondą VP41 10:1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&lt;10 Hz (-3 dB)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Czas narastania, bez sond</w:t>
            </w:r>
            <w:r w:rsidRPr="00976D0C">
              <w:rPr>
                <w:rFonts w:ascii="Times New Roman" w:hAnsi="Times New Roman" w:cs="Times New Roman"/>
                <w:color w:val="000000" w:themeColor="text1"/>
              </w:rPr>
              <w:br/>
              <w:t>i przewodów pomiarowych</w:t>
            </w:r>
          </w:p>
        </w:tc>
        <w:tc>
          <w:tcPr>
            <w:tcW w:w="0" w:type="auto"/>
            <w:gridSpan w:val="7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123B &lt;17,5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ns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br/>
              <w:t xml:space="preserve">124B i 125B &lt;8,75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ns</w:t>
            </w:r>
            <w:proofErr w:type="spellEnd"/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Impedancja wejściowa</w:t>
            </w: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Bez sond i przewodów pomiarowych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1 MΩ//20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pF</w:t>
            </w:r>
            <w:proofErr w:type="spellEnd"/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 adapterem BB120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1 MΩ//24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pF</w:t>
            </w:r>
            <w:proofErr w:type="spellEnd"/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 ekranowanymi przewodami pomiarowymi STL120-IV 1:1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1 MΩ//230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pF</w:t>
            </w:r>
            <w:proofErr w:type="spellEnd"/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 sondą VP41 10:1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5 MΩ//15,5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pF</w:t>
            </w:r>
            <w:proofErr w:type="spellEnd"/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Czułość</w:t>
            </w:r>
          </w:p>
        </w:tc>
        <w:tc>
          <w:tcPr>
            <w:tcW w:w="0" w:type="auto"/>
            <w:gridSpan w:val="7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od 5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mV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do 200 V na działkę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Analogowy ogranicznik szerokości pasma</w:t>
            </w:r>
          </w:p>
        </w:tc>
        <w:tc>
          <w:tcPr>
            <w:tcW w:w="0" w:type="auto"/>
            <w:gridSpan w:val="7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10 kHz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Tryby wyświetlania</w:t>
            </w:r>
          </w:p>
        </w:tc>
        <w:tc>
          <w:tcPr>
            <w:tcW w:w="0" w:type="auto"/>
            <w:gridSpan w:val="7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A, -A, B, -B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lastRenderedPageBreak/>
              <w:t>Maksymalne napięcie wejściowe A i B</w:t>
            </w: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Bezpośrednie, z przewodami pomiarowymi lub z sondą VP41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Maksymalne napięcie 600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Vrms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Cat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IV, 750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Vrms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 adapterem BB120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600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Vrms</w:t>
            </w:r>
            <w:proofErr w:type="spellEnd"/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Maks. napięcie zmienne, z dowolnego zacisku do masy</w:t>
            </w:r>
          </w:p>
        </w:tc>
        <w:tc>
          <w:tcPr>
            <w:tcW w:w="0" w:type="auto"/>
            <w:gridSpan w:val="7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600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  <w:lang w:val="en-US"/>
              </w:rPr>
              <w:t>Vrms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Cat IV, 750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  <w:lang w:val="en-US"/>
              </w:rPr>
              <w:t>Vrms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do 400 Hz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Pozioma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Tryby oscyloskopu</w:t>
            </w:r>
          </w:p>
        </w:tc>
        <w:tc>
          <w:tcPr>
            <w:tcW w:w="0" w:type="auto"/>
            <w:gridSpan w:val="7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Normalny, Pojedynczy, Lista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Zakresy (normalny)</w:t>
            </w:r>
          </w:p>
        </w:tc>
        <w:tc>
          <w:tcPr>
            <w:tcW w:w="0" w:type="auto"/>
            <w:gridSpan w:val="5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Próbkowanie równoważne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123B: 20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ns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do 500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ns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>/działkę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124B i 125B: 10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ns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do 500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ns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>/działkę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Próbkowanie w czasie rzeczywistym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1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μs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do 5 s/działkę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Pojedynczy (czas rzeczywisty)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1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μs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do 5 s/działkę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Lista (czas rzeczywisty)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1s do 60 s/działkę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Częstotliwość próbkowania (jednocześnie dla obu kanałów)</w:t>
            </w: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Próbkowanie równoważne (powtarzalne sygnały)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maks. 4 GS/s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Próbkowanie w czasie rzeczywistym 1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μs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do 60 s/działkę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40 MS/s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Wyzwalacz</w:t>
            </w:r>
          </w:p>
        </w:tc>
      </w:tr>
      <w:tr w:rsidR="00976D0C" w:rsidRPr="00976D0C" w:rsidTr="000E3442">
        <w:trPr>
          <w:tblCellSpacing w:w="15" w:type="dxa"/>
        </w:trPr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Odświeżanie wyświetlacza</w:t>
            </w:r>
          </w:p>
        </w:tc>
        <w:tc>
          <w:tcPr>
            <w:tcW w:w="3440" w:type="pct"/>
            <w:gridSpan w:val="7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Swobodna praca, po wyzwoleniu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Źródło</w:t>
            </w:r>
          </w:p>
        </w:tc>
        <w:tc>
          <w:tcPr>
            <w:tcW w:w="0" w:type="auto"/>
            <w:gridSpan w:val="7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A, B</w:t>
            </w:r>
          </w:p>
        </w:tc>
      </w:tr>
      <w:tr w:rsidR="00976D0C" w:rsidRPr="00976D0C" w:rsidTr="000E3442">
        <w:trPr>
          <w:tblCellSpacing w:w="15" w:type="dxa"/>
        </w:trPr>
        <w:tc>
          <w:tcPr>
            <w:tcW w:w="1511" w:type="pct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Czułość A i B</w:t>
            </w:r>
          </w:p>
        </w:tc>
        <w:tc>
          <w:tcPr>
            <w:tcW w:w="1657" w:type="pct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Przy DC do 5 MHz</w:t>
            </w:r>
          </w:p>
        </w:tc>
        <w:tc>
          <w:tcPr>
            <w:tcW w:w="1766" w:type="pct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0,5 działki lub 5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mV</w:t>
            </w:r>
            <w:proofErr w:type="spellEnd"/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Przy 40 MHz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123B: 4 działki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124B i 125B: 1,5 działki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Przy 60 MHz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123B: N/d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124B i 125B: 4 działki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Nachylenie</w:t>
            </w:r>
          </w:p>
        </w:tc>
        <w:tc>
          <w:tcPr>
            <w:tcW w:w="0" w:type="auto"/>
            <w:gridSpan w:val="7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Dodatnie, ujemne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 Zaawansowane funkcje oscyloskopu</w:t>
            </w:r>
          </w:p>
        </w:tc>
      </w:tr>
      <w:tr w:rsidR="00976D0C" w:rsidRPr="00976D0C" w:rsidTr="000E3442">
        <w:trPr>
          <w:tblCellSpacing w:w="15" w:type="dxa"/>
        </w:trPr>
        <w:tc>
          <w:tcPr>
            <w:tcW w:w="1612" w:type="pct"/>
            <w:gridSpan w:val="2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Tryby wyświetlania</w:t>
            </w:r>
          </w:p>
        </w:tc>
        <w:tc>
          <w:tcPr>
            <w:tcW w:w="1662" w:type="pct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Normalny</w:t>
            </w:r>
          </w:p>
        </w:tc>
        <w:tc>
          <w:tcPr>
            <w:tcW w:w="1660" w:type="pc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Przechwytuje do 25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ns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zakłóceń i wyświetla przebieg poświaty typu analogowego.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Płynny</w:t>
            </w:r>
          </w:p>
        </w:tc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Usuwa szum z kształtu przebiegu.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Bez zakłóceń</w:t>
            </w:r>
          </w:p>
        </w:tc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Nie przechwytuje zakłóceń między próbkami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Obwiednia</w:t>
            </w:r>
          </w:p>
        </w:tc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Rejestruje i wyświetla minimalne i maksymalne przebiegi w czasie.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Automatyczne ustawianie (Connect-and-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View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>™)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Ciągła, w pełni automatyczna regulacja amplitudy, podstawy czasu, poziomu wyzwalacza i odstępu wyzwalania oraz wstrzymywanie. Przejście do trybu ręcznego poprzez dokonaną przez użytkownika regulację amplitudy, podstawy czasu lub poziomu wyzwalacza.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 Miernik z dwoma wejściami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Dokładność wszystkich pomiarów mieści się w zakresie ± (% odczytu + liczba wskazań) od </w:t>
            </w:r>
            <w:smartTag w:uri="urn:schemas-microsoft-com:office:smarttags" w:element="metricconverter">
              <w:smartTagPr>
                <w:attr w:name="ProductID" w:val="18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18°C</w:t>
              </w:r>
            </w:smartTag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28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28°C</w:t>
              </w:r>
            </w:smartTag>
            <w:r w:rsidRPr="00976D0C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Dodaj 0,1× (określona dokładność) dla każdego °C poniżej </w:t>
            </w:r>
            <w:smartTag w:uri="urn:schemas-microsoft-com:office:smarttags" w:element="metricconverter">
              <w:smartTagPr>
                <w:attr w:name="ProductID" w:val="18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18°C</w:t>
              </w:r>
            </w:smartTag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lub powyżej </w:t>
            </w:r>
            <w:smartTag w:uri="urn:schemas-microsoft-com:office:smarttags" w:element="metricconverter">
              <w:smartTagPr>
                <w:attr w:name="ProductID" w:val="28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28°C</w:t>
              </w:r>
            </w:smartTag>
            <w:r w:rsidRPr="00976D0C">
              <w:rPr>
                <w:rFonts w:ascii="Times New Roman" w:hAnsi="Times New Roman" w:cs="Times New Roman"/>
                <w:color w:val="000000" w:themeColor="text1"/>
              </w:rPr>
              <w:t>. Dla pomiarów napięcia z sondą 10:1 dodaj niedokładność sondy +1%. Na ekranie musi być widoczny więcej niż jeden okres kształtu fali.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 Wejście A i wejście B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Napięcie stałe (VDC)</w:t>
            </w:r>
          </w:p>
        </w:tc>
      </w:tr>
      <w:tr w:rsidR="00976D0C" w:rsidRPr="00976D0C" w:rsidTr="000E3442">
        <w:trPr>
          <w:tblCellSpacing w:w="15" w:type="dxa"/>
        </w:trPr>
        <w:tc>
          <w:tcPr>
            <w:tcW w:w="1612" w:type="pct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Zakresy</w:t>
            </w:r>
          </w:p>
        </w:tc>
        <w:tc>
          <w:tcPr>
            <w:tcW w:w="3338" w:type="pct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500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mV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>, 5 V, 50 V, 500 V, 750 V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Dokładność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± (0,5% + 5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zliczeń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Odrzucenie w trybie wspólnym (CMRR)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&gt;100 dB przy DC, &gt;60 dB przy 50, 60 lub 400 Hz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Odczyt pełnego zakresu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5000 wskazań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Precyzyjny pomiar prawdziwej wartości RMS napięcia (V AC oraz V AC+DC)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Zakresy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500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mV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>, 5 V, 50 V, 500 V, 750 V</w:t>
            </w:r>
          </w:p>
        </w:tc>
      </w:tr>
      <w:tr w:rsidR="00976D0C" w:rsidRPr="00976D0C" w:rsidTr="000E3442">
        <w:trPr>
          <w:tblCellSpacing w:w="15" w:type="dxa"/>
        </w:trPr>
        <w:tc>
          <w:tcPr>
            <w:tcW w:w="1612" w:type="pct"/>
            <w:gridSpan w:val="2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Dokładność od 5% do 100% zakresu (sprzężenie pojemnościowe DC)</w:t>
            </w:r>
          </w:p>
        </w:tc>
        <w:tc>
          <w:tcPr>
            <w:tcW w:w="1662" w:type="pct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DC do 60 Hz (V AC+DC)</w:t>
            </w:r>
          </w:p>
        </w:tc>
        <w:tc>
          <w:tcPr>
            <w:tcW w:w="1660" w:type="pc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± (1% + 10 zliczenia)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 Hz do 60 Hz (V AC)</w:t>
            </w:r>
          </w:p>
        </w:tc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± (1% + 10 zliczenia)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Dokładność 5% do 100% zakresu (sprzężenie pojemnościowe AC lub DC)</w:t>
            </w: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 60 Hz do 20 kHz</w:t>
            </w:r>
          </w:p>
        </w:tc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± (+2,5% + 15 zliczenia)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Ignorowanie DC (tylko VAC)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&gt;50 dB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Odrzucenie w trybie wspólnym (CMRR)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&gt;100 dB przy DC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&gt;60 dB przy 50, 60 lub 400 Hz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lastRenderedPageBreak/>
              <w:t>Odczyt pełnego zakresu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5000 wskazań, odczyt niezależny od jakichkolwiek współczynników szczytu sygnału.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Maks.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Tryby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Maks. wartość szczytowa, min. wartość szczytowa lub całkowita amplituda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Zakresy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500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mV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>, 5 V, 50 V, 500 V, 2200 V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Dokładność</w:t>
            </w: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Dokładność Maksymalna wartość szczytowa lub minimalna wartość szczytowa</w:t>
            </w:r>
          </w:p>
        </w:tc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5% pełnej skali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Dokładność całkowitej amplitudy</w:t>
            </w:r>
          </w:p>
        </w:tc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10% pełnej skali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Odczyt pełnego zakresu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500 wskazań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Częstotliwość (Hz)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Zakresy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123B: 1 Hz, 10 Hz, 100 Hz, 1 kHz, 10 kHz, 100 kHz,1 MHz, 10 MHz i 50 MHz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124B i 125B: 1 Hz, 10 Hz, 100 Hz, 1 kHz, 10 kHz, 100 kHz, 1 MHz, 10 MHz i 70 MHz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Zakres częstotliwości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15 Hz (1 Hz) do 50 MHz w ciągłym automatycznym ustawianiu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Dokładność przy 1 Hz do 1 MHz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± (+0,5% + 2 zliczenia)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Odczyt pełnego zakresu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Wskazanie maks. 10 000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Obr./min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Maks. odczyt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50,00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kRPM</w:t>
            </w:r>
            <w:proofErr w:type="spellEnd"/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Dokładność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± (+0,5% + 2 zliczenia)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Współczynnik wypełnienia (PULSE)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Zakres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2% – 98%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Zakres częstotliwości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15 Hz (1 Hz) do 30 MHz w ciągłym automatycznym ustawianiu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Szerokość impulsu (PULSE)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Zakres częstotliwości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15 Hz (1 Hz) do 30 MHz w ciągłym automatycznym ustawianiu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Odczyt pełnego zakresu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1000 wskazań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Ampery (AMP)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lastRenderedPageBreak/>
              <w:t>Z cęgami prądowymi</w:t>
            </w: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Zakresy</w:t>
            </w:r>
          </w:p>
        </w:tc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Podobnie jak w przypadku V DC, V AC, V AC+DC lub PEAK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Współczynniki skali</w:t>
            </w:r>
          </w:p>
        </w:tc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0,1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mV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/A, 1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mV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/A, 10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mV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/A, 100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mV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/A, 400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mV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/A, 1 V/A, 10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mV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>/mA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Dokładność</w:t>
            </w:r>
          </w:p>
        </w:tc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Podobnie jak w przypadku V DC, V AC, V AC+DC lub PEAK (dodaj niepewność cęgów prądowych)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Temperatura (TEMP) z opcjonalną sondą temperatury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Zakres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200°C/działka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Współczynnik skali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1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mV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/°C i 1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mV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>/°F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Dokładność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Jak V DC (dodaj niepewność sondy temp.)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Decybele (dB)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dBV</w:t>
            </w:r>
            <w:proofErr w:type="spellEnd"/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 V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dBm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(600 Ω /50 Ω)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1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mW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w odniesieniu do 600 Ω lub 50 Ω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dB na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V DC, V AC lub VAC+DC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Odczyt pełnego zakresu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1000 wskazań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Współczynnik szczytu (CREST)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Zakres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 1 do 10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Odczyt pełnego zakresu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90 wskazań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Faza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Tryby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A do B, B do A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Zakres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 0 do 359 stopni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Rozdzielczość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 stopień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Moc (tylko 125B)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Konfiguracje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 faza / 3 fazy, 3 obciążenia symetryczne w przewodniku (3 fazy: tylko komponent podstawowy, tylko tryb AUTOSET)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Współczynnik mocy (PF)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Stosunek między watami i zakresem VA — od 0,00 do 1,00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Wat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Odczyt wartości skutecznej powielających się, odpowiadających próbek z wejścia A (napięcie) i wejścia B (natężenie)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Odczyt pełnego zakresu</w:t>
            </w:r>
          </w:p>
        </w:tc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999 wskazań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VA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Vrms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×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Arms</w:t>
            </w:r>
            <w:proofErr w:type="spellEnd"/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Odczyt pełnego zakresu</w:t>
            </w:r>
          </w:p>
        </w:tc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999 wskazań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Moc bierna (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var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[S][208]</w:t>
            </w:r>
            <w:r w:rsidRPr="00976D0C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=”2”</w:t>
            </w:r>
            <w:r w:rsidRPr="00976D0C">
              <w:rPr>
                <w:rFonts w:ascii="Times New Roman" w:hAnsi="Times New Roman" w:cs="Times New Roman"/>
                <w:color w:val="000000" w:themeColor="text1"/>
              </w:rPr>
              <w:t>[S][210]</w:t>
            </w:r>
            <w:r w:rsidRPr="00976D0C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=”2”</w:t>
            </w:r>
            <w:r w:rsidRPr="00976D0C">
              <w:rPr>
                <w:rFonts w:ascii="Times New Roman" w:hAnsi="Times New Roman" w:cs="Times New Roman"/>
                <w:color w:val="000000" w:themeColor="text1"/>
              </w:rPr>
              <w:t>[S][212]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Odczyt pełnego zakresu</w:t>
            </w:r>
          </w:p>
        </w:tc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999 wskazań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Vpwm</w:t>
            </w:r>
            <w:proofErr w:type="spellEnd"/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Przeznaczenie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Zmierzenie sygnałów regulowanych przez modulator szerokości impulsów, np. sygnałów falownika napędu silnikowego.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Zasada działania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Odczyty przedstawiają napięcie skuteczne oparte na średniej wartości próbek ze wszystkich okresów częstotliwości podstawowej.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Dokładność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Jak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Vrms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dla sygnałów o przebiegu sinusoidalnym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 Wejście A do wejścia wspólnego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Om (Ω)</w:t>
            </w:r>
          </w:p>
        </w:tc>
      </w:tr>
      <w:tr w:rsidR="00976D0C" w:rsidRPr="00976D0C" w:rsidTr="000E3442">
        <w:trPr>
          <w:tblCellSpacing w:w="15" w:type="dxa"/>
        </w:trPr>
        <w:tc>
          <w:tcPr>
            <w:tcW w:w="1612" w:type="pct"/>
            <w:gridSpan w:val="2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Zakresy</w:t>
            </w:r>
          </w:p>
        </w:tc>
        <w:tc>
          <w:tcPr>
            <w:tcW w:w="1662" w:type="pct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123B oraz 124B</w:t>
            </w:r>
          </w:p>
        </w:tc>
        <w:tc>
          <w:tcPr>
            <w:tcW w:w="1660" w:type="pc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500 Ω, 5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kΩ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, 50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kΩ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, 500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kΩ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>, 5 MΩ, 30 MΩ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125B</w:t>
            </w:r>
          </w:p>
        </w:tc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50 Ω, 500 Ω, 5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kΩ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, 50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kΩ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, 500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kΩ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>, 5 MΩ, 30 MΩ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Dokładność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± (0,6% + 5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zliczeń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) 50 Ω ± (2% + 20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zliczeń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Odczyt pełnego zakresu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50 Ω do 5 MΩ — 5 000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zliczeń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, 30 MΩ — 3 000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zliczeń</w:t>
            </w:r>
            <w:proofErr w:type="spellEnd"/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Prąd pomiaru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0,5 mA do 50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nA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>, zmniejsza się wraz ze zwiększaniem zakresów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Napięcie obwodu otwartego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&lt;4 V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Ciągłość (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Cont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Sygnał dźwiękowy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&lt;(30 Ω ± 5 Ω) w zakresie 50 Ω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Prąd pomiaru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0,5 mA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Wykrywanie zwarć o długości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≥1 ms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Dioda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Napięcie pomiarowe</w:t>
            </w: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przy 0,5 mA</w:t>
            </w:r>
          </w:p>
        </w:tc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&gt;2,8 V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przy obwodzie otwartym</w:t>
            </w:r>
          </w:p>
        </w:tc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&lt;4 V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Prąd pomiaru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0,5 mA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lastRenderedPageBreak/>
              <w:t>Biegunowość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+ na wejściu A, - na COM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Pojemność (CAP)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Zakresy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50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nF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, 500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nF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, 5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μF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, 50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μF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, 500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μF</w:t>
            </w:r>
            <w:proofErr w:type="spellEnd"/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Odczyt pełnego zakresu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5000 wskazań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Prąd pomiaru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500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nA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do 0,5 mA, zwiększa się wraz ze zwiększaniem zakresów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 Zaawansowane funkcje miernika</w:t>
            </w:r>
          </w:p>
        </w:tc>
      </w:tr>
      <w:tr w:rsidR="00976D0C" w:rsidRPr="00976D0C" w:rsidTr="000E3442">
        <w:trPr>
          <w:tblCellSpacing w:w="15" w:type="dxa"/>
        </w:trPr>
        <w:tc>
          <w:tcPr>
            <w:tcW w:w="1666" w:type="pct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Punkt początkowy</w:t>
            </w:r>
          </w:p>
        </w:tc>
        <w:tc>
          <w:tcPr>
            <w:tcW w:w="3284" w:type="pct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Ustawienie bieżącej wartości jako punktu odniesienia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AutoHold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(dla A)</w:t>
            </w:r>
          </w:p>
        </w:tc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Przechwytuje i „zamraża” stabilny wynik pomiaru. Po uzyskaniu stabilnego sygnału generowany jest dźwięk. Funkcja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AutoHold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opiera się na głównym odczycie pomiaru i ma próg 1 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Vpp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dla sygnałów prądu przemiennego oraz 100 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mV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dla sygnałów prądu stałego.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Stałe miejsce dziesiętne</w:t>
            </w:r>
          </w:p>
        </w:tc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Aktywowany za pomocą kluczy tłumiących.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 Odczyt kursora (124B oraz 125B)</w:t>
            </w:r>
          </w:p>
        </w:tc>
      </w:tr>
      <w:tr w:rsidR="00976D0C" w:rsidRPr="00976D0C" w:rsidTr="000E3442">
        <w:trPr>
          <w:tblCellSpacing w:w="15" w:type="dxa"/>
        </w:trPr>
        <w:tc>
          <w:tcPr>
            <w:tcW w:w="1639" w:type="pct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Źródła</w:t>
            </w:r>
          </w:p>
        </w:tc>
        <w:tc>
          <w:tcPr>
            <w:tcW w:w="3311" w:type="pct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A, B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3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Pojedyncza linia pionowa</w:t>
            </w: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Średni, min. i maks. odczyt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3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Średni, minimum, maksimum i czas od początku odczytu (w trybie ROLL (LISTA), narzędzie w trybie HOLD (WSTRZYMANIE))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3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Średni, minimum, maksimum i czas od początku odczytu (w trybie RECORDER (REJESTRATOR); narzędzie w trybie HOLD (WSTRZYMANIE))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3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Wartości harmonicznych w trybie POWER QUALITY (JAKOŚĆ ENERGII ELEKTRYCZNEJ).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3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Dwie linie pionowe</w:t>
            </w: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Całkowita amplituda, odczyt odległości i czasu, odwrotny odczyt odległości i czasu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3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Średni, minimum, maksimum oraz czasowo-odległościowa odczytu (w trybie ROLL (LISTA), narzędzie w trybie HOLD (WSTRZYMANIE))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Dwie linie poziome</w:t>
            </w: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Odczyt wysoki, niski i całkowita amplituda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Czas narastania lub opadania</w:t>
            </w: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Czas przejścia, odczyt na poziomie 0% i 100% (ręczna lub automatyczna regulacja poziomu;</w:t>
            </w:r>
            <w:r w:rsidRPr="00976D0C">
              <w:rPr>
                <w:rFonts w:ascii="Times New Roman" w:hAnsi="Times New Roman" w:cs="Times New Roman"/>
                <w:color w:val="000000" w:themeColor="text1"/>
              </w:rPr>
              <w:br/>
              <w:t>regulacja automatyczna możliwa tylko w trybie pojedynczego kanału)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Dokładność</w:t>
            </w: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Analogicznie jak dokładność oscyloskopu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lastRenderedPageBreak/>
              <w:t> Rejestrator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Rejestrator przechwytuje odczyty pomiaru w trybie rejestratora pomiaru lub w sposób ciągły przechwytuje próbki kształtu przebiegu w trybie rejestratora oscyloskopu. Informacje są przechowywane w pamięci wewnętrznej lub na dodatkowej karcie pamięci SD (w modelach 125B i 124B).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Wyniki są przedstawiane jak na wyświetlaczu rejestratora taśmowego, który tworzy wykres minimalnych i maksymalnych wartości pomiarów w określonym czasie, lub jak na wyświetlaczu rejestratora kształtu przebiegu, który analizuje wszystkie przechwycone próbki.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Odczyty miernika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Szybkość pomiarów</w:t>
            </w: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Maksymalnie 2 pomiary/s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Rozmiar rejestrowanych danych (min., maks., średnia)</w:t>
            </w: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smartTag w:uri="urn:schemas-microsoft-com:office:smarttags" w:element="metricconverter">
              <w:smartTagPr>
                <w:attr w:name="ProductID" w:val="2 M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2 M</w:t>
              </w:r>
            </w:smartTag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odczyty dla 1 kanału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Okres rejestrowania</w:t>
            </w: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2 tygodnie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Maksymalna liczba zdarzeń</w:t>
            </w: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="1024"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Zapis kształtu fali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Maksymalna prędkość próbkowania</w:t>
            </w: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400 K próbka/s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Rozmiar pamięci wewnętrznej</w:t>
            </w: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smartTag w:uri="urn:schemas-microsoft-com:office:smarttags" w:element="metricconverter">
              <w:smartTagPr>
                <w:attr w:name="ProductID" w:val="400 M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400 M</w:t>
              </w:r>
            </w:smartTag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próbek Zarejestrowany czas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Zakres pamięci wewnętrznej</w:t>
            </w: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15 minut przy 500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μs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>/działkę</w:t>
            </w:r>
            <w:r w:rsidRPr="00976D0C">
              <w:rPr>
                <w:rFonts w:ascii="Times New Roman" w:hAnsi="Times New Roman" w:cs="Times New Roman"/>
                <w:color w:val="000000" w:themeColor="text1"/>
              </w:rPr>
              <w:br/>
              <w:t>11 godzin przy 20 ms/działkę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Rozmiar rejestrowanych danych na karcie SD</w:t>
            </w: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smartTag w:uri="urn:schemas-microsoft-com:office:smarttags" w:element="metricconverter">
              <w:smartTagPr>
                <w:attr w:name="ProductID" w:val="1,5 G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1,5 G</w:t>
              </w:r>
            </w:smartTag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próbki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Okres rejestrowania na karcie SD</w:t>
            </w: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11 godzin przy 500 ms/działkę</w:t>
            </w:r>
            <w:r w:rsidRPr="00976D0C">
              <w:rPr>
                <w:rFonts w:ascii="Times New Roman" w:hAnsi="Times New Roman" w:cs="Times New Roman"/>
                <w:color w:val="000000" w:themeColor="text1"/>
              </w:rPr>
              <w:br/>
              <w:t>14 dni przy 20 ms/działkę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Maksymalna liczba zdarzeń</w:t>
            </w: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="64"</w:t>
            </w:r>
          </w:p>
        </w:tc>
      </w:tr>
    </w:tbl>
    <w:p w:rsidR="000624AA" w:rsidRPr="00976D0C" w:rsidRDefault="000624AA" w:rsidP="000624AA">
      <w:pPr>
        <w:rPr>
          <w:rFonts w:ascii="Times New Roman" w:hAnsi="Times New Roman" w:cs="Times New Roman"/>
          <w:color w:val="000000" w:themeColor="text1"/>
        </w:rPr>
      </w:pPr>
      <w:r w:rsidRPr="00976D0C">
        <w:rPr>
          <w:rFonts w:ascii="Times New Roman" w:hAnsi="Times New Roman" w:cs="Times New Roman"/>
          <w:color w:val="000000" w:themeColor="text1"/>
        </w:rPr>
        <w:t> 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858"/>
        <w:gridCol w:w="30"/>
        <w:gridCol w:w="31"/>
        <w:gridCol w:w="699"/>
        <w:gridCol w:w="699"/>
        <w:gridCol w:w="643"/>
        <w:gridCol w:w="644"/>
        <w:gridCol w:w="644"/>
        <w:gridCol w:w="2824"/>
      </w:tblGrid>
      <w:tr w:rsidR="00976D0C" w:rsidRPr="00976D0C" w:rsidTr="00E842D3">
        <w:trPr>
          <w:tblCellSpacing w:w="15" w:type="dxa"/>
        </w:trPr>
        <w:tc>
          <w:tcPr>
            <w:tcW w:w="0" w:type="auto"/>
            <w:gridSpan w:val="9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Jakość energii elektrycznej (tylko w modelu 125B)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Odczyty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 w:rsidRPr="00976D0C">
                  <w:rPr>
                    <w:rFonts w:ascii="Times New Roman" w:hAnsi="Times New Roman" w:cs="Times New Roman"/>
                    <w:color w:val="000000" w:themeColor="text1"/>
                    <w:lang w:val="en-US"/>
                  </w:rPr>
                  <w:t>Wat</w:t>
                </w:r>
              </w:smartTag>
              <w:r w:rsidRPr="00976D0C">
                <w:rPr>
                  <w:rFonts w:ascii="Times New Roman" w:hAnsi="Times New Roman" w:cs="Times New Roman"/>
                  <w:color w:val="000000" w:themeColor="text1"/>
                  <w:lang w:val="en-US"/>
                </w:rPr>
                <w:t xml:space="preserve">, </w:t>
              </w:r>
              <w:smartTag w:uri="urn:schemas-microsoft-com:office:smarttags" w:element="State">
                <w:r w:rsidRPr="00976D0C">
                  <w:rPr>
                    <w:rFonts w:ascii="Times New Roman" w:hAnsi="Times New Roman" w:cs="Times New Roman"/>
                    <w:color w:val="000000" w:themeColor="text1"/>
                    <w:lang w:val="en-US"/>
                  </w:rPr>
                  <w:t>VA</w:t>
                </w:r>
              </w:smartTag>
            </w:smartTag>
            <w:r w:rsidRPr="00976D0C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,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  <w:lang w:val="en-US"/>
              </w:rPr>
              <w:t>var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  <w:lang w:val="en-US"/>
              </w:rPr>
              <w:t>, PF, DPF, Hz</w:t>
            </w:r>
          </w:p>
        </w:tc>
      </w:tr>
      <w:tr w:rsidR="00976D0C" w:rsidRPr="00976D0C" w:rsidTr="000E3442">
        <w:trPr>
          <w:tblCellSpacing w:w="15" w:type="dxa"/>
        </w:trPr>
        <w:tc>
          <w:tcPr>
            <w:tcW w:w="1591" w:type="pct"/>
            <w:gridSpan w:val="3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Wat, VA, zakresy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var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(auto)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250 W do 250 MW, 625 MW, 1,56 GW</w:t>
            </w:r>
          </w:p>
        </w:tc>
      </w:tr>
      <w:tr w:rsidR="00976D0C" w:rsidRPr="00976D0C" w:rsidTr="000E3442">
        <w:trPr>
          <w:tblCellSpacing w:w="15" w:type="dxa"/>
        </w:trPr>
        <w:tc>
          <w:tcPr>
            <w:tcW w:w="0" w:type="auto"/>
            <w:gridSpan w:val="3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72" w:type="pct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Jeśli wybrano: całkowita (% r)</w:t>
            </w:r>
          </w:p>
        </w:tc>
        <w:tc>
          <w:tcPr>
            <w:tcW w:w="1571" w:type="pc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± (2% + 6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zliczeń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3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Jeśli wybrano: podstawowa (% f)</w:t>
            </w:r>
          </w:p>
        </w:tc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±(4% + 4 zliczenia)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DPF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 0,00 do 1,00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PF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0,00 do 1,00 ± 0,04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lastRenderedPageBreak/>
              <w:t>Zakres częstotliwości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10,0 Hz do 15,0 kHz</w:t>
            </w:r>
            <w:r w:rsidRPr="00976D0C">
              <w:rPr>
                <w:rFonts w:ascii="Times New Roman" w:hAnsi="Times New Roman" w:cs="Times New Roman"/>
                <w:color w:val="000000" w:themeColor="text1"/>
              </w:rPr>
              <w:br/>
              <w:t>40,0 Hz do 70,0 Hz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Liczba harmonicznych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DC do 51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Odczyty / odczyty kursora</w:t>
            </w:r>
            <w:r w:rsidRPr="00976D0C">
              <w:rPr>
                <w:rFonts w:ascii="Times New Roman" w:hAnsi="Times New Roman" w:cs="Times New Roman"/>
                <w:color w:val="000000" w:themeColor="text1"/>
              </w:rPr>
              <w:br/>
              <w:t>(podstawowe 40 Hz do 70 Hz)</w:t>
            </w: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Vrms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/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Arms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/Wat</w:t>
            </w:r>
          </w:p>
        </w:tc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Każdą harmoniczną z wartości podstawowej można wybrać do osobnego odczytu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9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Obejmuje częstotliwość wartości podstawowej, kąta fazowego oraz współczynnik K (w A i W)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9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 Tester Bus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health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(działania magistrali) 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Typ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Podtyp</w:t>
            </w: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Protokół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AS-i</w:t>
            </w: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NEN-EN50295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CAN</w:t>
            </w:r>
          </w:p>
        </w:tc>
        <w:tc>
          <w:tcPr>
            <w:tcW w:w="0" w:type="auto"/>
            <w:gridSpan w:val="5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ISO-11898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Interbus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S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RS-422</w:t>
            </w: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EIA-422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4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Modbus</w:t>
            </w:r>
            <w:proofErr w:type="spellEnd"/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RS-232</w:t>
            </w: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RS-232/EIA-232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4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RS-485</w:t>
            </w: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RS-485/EIA-485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Foundation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Fieldbus</w:t>
            </w:r>
            <w:proofErr w:type="spellEnd"/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H1</w:t>
            </w: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61158 rodzaj 1, 31,25 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kb</w:t>
            </w:r>
            <w:proofErr w:type="spellEnd"/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4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Profibus</w:t>
            </w:r>
            <w:proofErr w:type="spellEnd"/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DP</w:t>
            </w: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EIA-485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4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PA</w:t>
            </w: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61158 typ 1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9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 Różne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Wyświetlacz</w:t>
            </w: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Typ</w:t>
            </w:r>
          </w:p>
        </w:tc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5,7-calowy kolorowy wyświetlacz z aktywną matrycą TFT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Rozdzielczość</w:t>
            </w:r>
          </w:p>
        </w:tc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640 × 480 pikseli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Wyświetlanie kształtu przebiegu</w:t>
            </w: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Pionowo</w:t>
            </w:r>
          </w:p>
        </w:tc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10 działek składających się z 40 pikseli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Pozioma</w:t>
            </w:r>
          </w:p>
        </w:tc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12 działek składających się z 40 pikseli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Zasilanie</w:t>
            </w: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Zewnętrzne</w:t>
            </w:r>
          </w:p>
        </w:tc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 pomocą zasilacza BC430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Napięcie wejściowe</w:t>
            </w:r>
          </w:p>
        </w:tc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10 V DC do 21 V DC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Zużycie energii</w:t>
            </w:r>
          </w:p>
        </w:tc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zwykle 5 W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Złącze wejściowe</w:t>
            </w:r>
          </w:p>
        </w:tc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jack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5 mm</w:t>
              </w:r>
            </w:smartTag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Wewnętrzne</w:t>
            </w:r>
          </w:p>
        </w:tc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 zestawu akumulatorów BP290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Zasilanie akumulatorowe</w:t>
            </w:r>
          </w:p>
        </w:tc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Akumulator Li-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Ion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10,8 V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Czas pracy</w:t>
            </w:r>
          </w:p>
        </w:tc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7 godzin przy 50% jasności podświetlenia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Czas ładowania</w:t>
            </w:r>
          </w:p>
        </w:tc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4 godziny, gdy przyrząd testujący jest wyłączony, 7 godzin, gdy przyrząd testujący jest włączony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Dopuszczalna temp. otoczenia</w:t>
            </w:r>
          </w:p>
        </w:tc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0 do </w:t>
            </w:r>
            <w:smartTag w:uri="urn:schemas-microsoft-com:office:smarttags" w:element="metricconverter">
              <w:smartTagPr>
                <w:attr w:name="ProductID" w:val="40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40°C</w:t>
              </w:r>
            </w:smartTag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podczas ładowania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Pamięć</w:t>
            </w: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W pamięci wewnętrznej mieści się 20 zestawów danych (ekran przebieg i konfiguracja)</w:t>
            </w:r>
          </w:p>
        </w:tc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Gniazdo na kartę Micro SD lub SD(maks. rozmiar 32 GB)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Interfejs</w:t>
            </w: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Izolowany optycznie</w:t>
            </w:r>
          </w:p>
        </w:tc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Transfer kopii ekranu (mapy bitowe), ustawień i danych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Złącze USB PC/laptop</w:t>
            </w:r>
          </w:p>
        </w:tc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OC4USB izolowane optycznie adapter/kabel USB (opcjonalnie) za pomocą oprogramowania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FlukeView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>® dla systemów Windows®.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3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Opcjonalnie adapter Wi-Fi</w:t>
            </w:r>
          </w:p>
        </w:tc>
        <w:tc>
          <w:tcPr>
            <w:tcW w:w="0" w:type="auto"/>
            <w:gridSpan w:val="4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Szybki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transwer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kopii ekranów (map bitowych) ustawienia i dane przesyłane do komputera PC/laptopa, na tablet, smartfon itp. Urządzenie posiada gniazdo USB w celu dołączenia klucz sprzętowy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WiFi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>. Ze względów bezpieczeństwa nie należy używać portu USB z przewodem.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gridSpan w:val="9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 Parametry środowiskowe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Parametry środowiskowe</w:t>
            </w:r>
          </w:p>
        </w:tc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MIL-PRF-</w:t>
            </w:r>
            <w:smartTag w:uri="urn:schemas-microsoft-com:office:smarttags" w:element="metricconverter">
              <w:smartTagPr>
                <w:attr w:name="ProductID" w:val="28800F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28800F</w:t>
              </w:r>
            </w:smartTag>
            <w:r w:rsidRPr="00976D0C">
              <w:rPr>
                <w:rFonts w:ascii="Times New Roman" w:hAnsi="Times New Roman" w:cs="Times New Roman"/>
                <w:color w:val="000000" w:themeColor="text1"/>
              </w:rPr>
              <w:t>, klasa 2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Temperatura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Zasilanie akumulatorowe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od 0 do </w:t>
            </w:r>
            <w:smartTag w:uri="urn:schemas-microsoft-com:office:smarttags" w:element="metricconverter">
              <w:smartTagPr>
                <w:attr w:name="ProductID" w:val="40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40°C</w:t>
              </w:r>
            </w:smartTag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Zasilanie z zasilacza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od 0 do </w:t>
            </w:r>
            <w:smartTag w:uri="urn:schemas-microsoft-com:office:smarttags" w:element="metricconverter">
              <w:smartTagPr>
                <w:attr w:name="ProductID" w:val="50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50°C</w:t>
              </w:r>
            </w:smartTag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Przechowywanie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od -20 do </w:t>
            </w:r>
            <w:smartTag w:uri="urn:schemas-microsoft-com:office:smarttags" w:element="metricconverter">
              <w:smartTagPr>
                <w:attr w:name="ProductID" w:val="60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60°C</w:t>
              </w:r>
            </w:smartTag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Wilgotność (podczas pracy)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przy 0 do </w:t>
            </w:r>
            <w:smartTag w:uri="urn:schemas-microsoft-com:office:smarttags" w:element="metricconverter">
              <w:smartTagPr>
                <w:attr w:name="ProductID" w:val="10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10°C</w:t>
              </w:r>
            </w:smartTag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Bez kondensacji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przy 10 do </w:t>
            </w:r>
            <w:smartTag w:uri="urn:schemas-microsoft-com:office:smarttags" w:element="metricconverter">
              <w:smartTagPr>
                <w:attr w:name="ProductID" w:val="30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30°C</w:t>
              </w:r>
            </w:smartTag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95%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przy 30 do </w:t>
            </w:r>
            <w:smartTag w:uri="urn:schemas-microsoft-com:office:smarttags" w:element="metricconverter">
              <w:smartTagPr>
                <w:attr w:name="ProductID" w:val="40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40°C</w:t>
              </w:r>
            </w:smartTag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75%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przy 40 do </w:t>
            </w:r>
            <w:smartTag w:uri="urn:schemas-microsoft-com:office:smarttags" w:element="metricconverter">
              <w:smartTagPr>
                <w:attr w:name="ProductID" w:val="50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50°C</w:t>
              </w:r>
            </w:smartTag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45%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Przechowywanie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przy -20 do </w:t>
            </w:r>
            <w:smartTag w:uri="urn:schemas-microsoft-com:office:smarttags" w:element="metricconverter">
              <w:smartTagPr>
                <w:attr w:name="ProductID" w:val="60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60°C</w:t>
              </w:r>
            </w:smartTag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Bez kondensacji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lastRenderedPageBreak/>
              <w:t>EMC — kompatybilność elektromagnetyczna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Międzynarodowe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IEC 61326-1: Przemysłowy, CISPR 11: grupa 1, klasa A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Korea (KCC)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Urządzenia klasy A (przemysłowe urządzenia radiowo-telewizyjne i telekomunikacyjne)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USA (FCC)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47 CFR 15 część B. To urządzenie jest uznawane za zwolnione z klauzuli 15.103.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Łączność bezprzewodowa za pomocą adaptera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Zakres częstotliwości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 2412 MHz do 2462 MHz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Moc wyjściowa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&lt;100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mW</w:t>
            </w:r>
            <w:proofErr w:type="spellEnd"/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Klasa szczelności obudowy</w:t>
            </w:r>
          </w:p>
        </w:tc>
        <w:tc>
          <w:tcPr>
            <w:tcW w:w="0" w:type="auto"/>
            <w:gridSpan w:val="8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IP51, wg: IEC60529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Bezpieczeństwo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Ogólne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IEC 61010-1: Stopień zanieczyszczenia 2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Pomiar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  <w:lang w:val="en-US"/>
              </w:rPr>
              <w:t>IEC 61010-2-033: CAT IV 600 V/CAT III 750 V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Maks. napięcie na wejściach A i B</w:t>
            </w: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Prąd na wejściu lub po przewodach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600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Vrms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CAT IV dla obniżania wartości znamionowych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 adapterem złącza bananowego do BNC BB120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600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Vrms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dla obniżania wartości znamionowych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gridSpan w:val="6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Maks. napięcie zmienne, z dowolnego zacisku do masy</w:t>
            </w:r>
          </w:p>
        </w:tc>
        <w:tc>
          <w:tcPr>
            <w:tcW w:w="0" w:type="auto"/>
            <w:gridSpan w:val="2"/>
            <w:vAlign w:val="center"/>
          </w:tcPr>
          <w:p w:rsidR="000624AA" w:rsidRPr="00976D0C" w:rsidRDefault="000624AA" w:rsidP="00E842D3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600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  <w:lang w:val="en-US"/>
              </w:rPr>
              <w:t>Vrms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Cat IV, 750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  <w:lang w:val="en-US"/>
              </w:rPr>
              <w:t>Vrms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do 400 Hz</w:t>
            </w:r>
          </w:p>
        </w:tc>
      </w:tr>
    </w:tbl>
    <w:p w:rsidR="000624AA" w:rsidRPr="00976D0C" w:rsidRDefault="000624AA" w:rsidP="000624AA">
      <w:pPr>
        <w:rPr>
          <w:rFonts w:ascii="Times New Roman" w:hAnsi="Times New Roman" w:cs="Times New Roman"/>
          <w:color w:val="000000" w:themeColor="text1"/>
          <w:sz w:val="16"/>
          <w:szCs w:val="16"/>
          <w:lang w:val="en-US"/>
        </w:rPr>
      </w:pPr>
    </w:p>
    <w:p w:rsidR="000624AA" w:rsidRPr="00976D0C" w:rsidRDefault="00D82F6F" w:rsidP="000624AA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976D0C"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  <w:t>ZAD 5</w:t>
      </w:r>
    </w:p>
    <w:p w:rsidR="00976D0C" w:rsidRPr="00976D0C" w:rsidRDefault="00976D0C" w:rsidP="00976D0C">
      <w:pPr>
        <w:rPr>
          <w:rFonts w:ascii="Times New Roman" w:hAnsi="Times New Roman" w:cs="Times New Roman"/>
          <w:color w:val="000000" w:themeColor="text1"/>
        </w:rPr>
      </w:pPr>
      <w:r w:rsidRPr="00976D0C">
        <w:rPr>
          <w:rFonts w:ascii="Times New Roman" w:hAnsi="Times New Roman" w:cs="Times New Roman"/>
          <w:color w:val="000000" w:themeColor="text1"/>
        </w:rPr>
        <w:t>Pomiar i symulacja 17 różnych typów termopar: E, N, J, K, T, B, R, S, C, L, U, BP, XK, G, D, P, M</w:t>
      </w:r>
    </w:p>
    <w:p w:rsidR="00976D0C" w:rsidRPr="00976D0C" w:rsidRDefault="00976D0C" w:rsidP="00976D0C">
      <w:pPr>
        <w:rPr>
          <w:rFonts w:ascii="Times New Roman" w:hAnsi="Times New Roman" w:cs="Times New Roman"/>
          <w:color w:val="000000" w:themeColor="text1"/>
        </w:rPr>
      </w:pPr>
      <w:r w:rsidRPr="00976D0C">
        <w:rPr>
          <w:rFonts w:ascii="Times New Roman" w:hAnsi="Times New Roman" w:cs="Times New Roman"/>
          <w:color w:val="000000" w:themeColor="text1"/>
        </w:rPr>
        <w:t>Pomiar sygnałów od 4 do 20 mA przy jednoczesnym pomiarze źródłowego sygnału temperatury</w:t>
      </w:r>
    </w:p>
    <w:p w:rsidR="00976D0C" w:rsidRPr="00976D0C" w:rsidRDefault="00976D0C" w:rsidP="00976D0C">
      <w:pPr>
        <w:rPr>
          <w:rFonts w:ascii="Times New Roman" w:hAnsi="Times New Roman" w:cs="Times New Roman"/>
          <w:color w:val="000000" w:themeColor="text1"/>
        </w:rPr>
      </w:pPr>
      <w:r w:rsidRPr="00976D0C">
        <w:rPr>
          <w:rFonts w:ascii="Times New Roman" w:hAnsi="Times New Roman" w:cs="Times New Roman"/>
          <w:color w:val="000000" w:themeColor="text1"/>
        </w:rPr>
        <w:t>Uchwyt do zawieszania przyrząd</w:t>
      </w:r>
    </w:p>
    <w:p w:rsidR="00976D0C" w:rsidRPr="00976D0C" w:rsidRDefault="00976D0C" w:rsidP="00976D0C">
      <w:pPr>
        <w:rPr>
          <w:rFonts w:ascii="Times New Roman" w:hAnsi="Times New Roman" w:cs="Times New Roman"/>
          <w:color w:val="000000" w:themeColor="text1"/>
        </w:rPr>
      </w:pPr>
      <w:r w:rsidRPr="00976D0C">
        <w:rPr>
          <w:rFonts w:ascii="Times New Roman" w:hAnsi="Times New Roman" w:cs="Times New Roman"/>
          <w:color w:val="000000" w:themeColor="text1"/>
        </w:rPr>
        <w:t>Możliwość konfigurowania ustawień źródła 0% i 100% do szybkiego sprawdzania 25% liniowości</w:t>
      </w:r>
    </w:p>
    <w:p w:rsidR="00976D0C" w:rsidRPr="00976D0C" w:rsidRDefault="00976D0C" w:rsidP="00976D0C">
      <w:pPr>
        <w:rPr>
          <w:rFonts w:ascii="Times New Roman" w:hAnsi="Times New Roman" w:cs="Times New Roman"/>
          <w:color w:val="000000" w:themeColor="text1"/>
        </w:rPr>
      </w:pPr>
      <w:r w:rsidRPr="00976D0C">
        <w:rPr>
          <w:rFonts w:ascii="Times New Roman" w:hAnsi="Times New Roman" w:cs="Times New Roman"/>
          <w:color w:val="000000" w:themeColor="text1"/>
        </w:rPr>
        <w:t>Liniowe narastanie i automatyczne narastanie w odstępach co 25% przy ustawieniach 0% i 100%</w:t>
      </w:r>
    </w:p>
    <w:p w:rsidR="00976D0C" w:rsidRPr="00976D0C" w:rsidRDefault="00976D0C" w:rsidP="00976D0C">
      <w:pPr>
        <w:rPr>
          <w:rFonts w:ascii="Times New Roman" w:hAnsi="Times New Roman" w:cs="Times New Roman"/>
          <w:color w:val="000000" w:themeColor="text1"/>
        </w:rPr>
      </w:pPr>
      <w:r w:rsidRPr="00976D0C">
        <w:rPr>
          <w:rFonts w:ascii="Times New Roman" w:hAnsi="Times New Roman" w:cs="Times New Roman"/>
          <w:color w:val="000000" w:themeColor="text1"/>
        </w:rPr>
        <w:t>Dwa wejścia i podświetlany wyświetlacz</w:t>
      </w:r>
    </w:p>
    <w:p w:rsidR="00976D0C" w:rsidRPr="00976D0C" w:rsidRDefault="00976D0C" w:rsidP="00976D0C">
      <w:pPr>
        <w:rPr>
          <w:rFonts w:ascii="Times New Roman" w:hAnsi="Times New Roman" w:cs="Times New Roman"/>
          <w:color w:val="000000" w:themeColor="text1"/>
        </w:rPr>
      </w:pPr>
      <w:r w:rsidRPr="00976D0C">
        <w:rPr>
          <w:rFonts w:ascii="Times New Roman" w:hAnsi="Times New Roman" w:cs="Times New Roman"/>
          <w:color w:val="000000" w:themeColor="text1"/>
        </w:rPr>
        <w:t>Zapamiętywanie ustawień wyłączenia zasilania podczas uruchamiania</w:t>
      </w:r>
    </w:p>
    <w:p w:rsidR="00976D0C" w:rsidRPr="00976D0C" w:rsidRDefault="00976D0C" w:rsidP="00976D0C">
      <w:pPr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153"/>
        <w:gridCol w:w="4919"/>
      </w:tblGrid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Specyfikacja ogólna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Temperatury pracy</w:t>
            </w:r>
          </w:p>
        </w:tc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smartTag w:uri="urn:schemas-microsoft-com:office:smarttags" w:element="metricconverter">
              <w:smartTagPr>
                <w:attr w:name="ProductID" w:val="-10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-10°C</w:t>
              </w:r>
            </w:smartTag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50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50°C</w:t>
              </w:r>
            </w:smartTag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Temperatura przechowywania</w:t>
            </w:r>
          </w:p>
        </w:tc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- 30 do </w:t>
            </w:r>
            <w:smartTag w:uri="urn:schemas-microsoft-com:office:smarttags" w:element="metricconverter">
              <w:smartTagPr>
                <w:attr w:name="ProductID" w:val="60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60°C</w:t>
              </w:r>
            </w:smartTag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lastRenderedPageBreak/>
              <w:t>Wilgotność względna</w:t>
            </w:r>
            <w:r w:rsidRPr="00976D0C">
              <w:rPr>
                <w:rFonts w:ascii="Times New Roman" w:hAnsi="Times New Roman" w:cs="Times New Roman"/>
                <w:color w:val="000000" w:themeColor="text1"/>
              </w:rPr>
              <w:br/>
              <w:t>(działanie w warunkach % RH bez kondensacji)</w:t>
            </w:r>
          </w:p>
        </w:tc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Bez kondensacji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90% (</w:t>
            </w:r>
            <w:smartTag w:uri="urn:schemas-microsoft-com:office:smarttags" w:element="metricconverter">
              <w:smartTagPr>
                <w:attr w:name="ProductID" w:val="10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10°C</w:t>
              </w:r>
            </w:smartTag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30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30°C</w:t>
              </w:r>
            </w:smartTag>
            <w:r w:rsidRPr="00976D0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75% (</w:t>
            </w:r>
            <w:smartTag w:uri="urn:schemas-microsoft-com:office:smarttags" w:element="metricconverter">
              <w:smartTagPr>
                <w:attr w:name="ProductID" w:val="30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30°C</w:t>
              </w:r>
            </w:smartTag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40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40°C</w:t>
              </w:r>
            </w:smartTag>
            <w:r w:rsidRPr="00976D0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45% (</w:t>
            </w:r>
            <w:smartTag w:uri="urn:schemas-microsoft-com:office:smarttags" w:element="metricconverter">
              <w:smartTagPr>
                <w:attr w:name="ProductID" w:val="40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40°C</w:t>
              </w:r>
            </w:smartTag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50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50°C</w:t>
              </w:r>
            </w:smartTag>
            <w:r w:rsidRPr="00976D0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(bez kondensacji)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Wymagania dot. wibracji</w:t>
            </w:r>
          </w:p>
        </w:tc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MIL-T-28800E, klasa 2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Odporność na upadek</w:t>
            </w:r>
          </w:p>
        </w:tc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z wysokości </w:t>
            </w:r>
            <w:smartTag w:uri="urn:schemas-microsoft-com:office:smarttags" w:element="metricconverter">
              <w:smartTagPr>
                <w:attr w:name="ProductID" w:val="1 m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1 m</w:t>
              </w:r>
            </w:smartTag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Klasa IP</w:t>
            </w:r>
          </w:p>
        </w:tc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IEC 60529: IP52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Środowisko</w:t>
            </w:r>
            <w:r w:rsidRPr="00976D0C">
              <w:rPr>
                <w:rFonts w:ascii="Times New Roman" w:hAnsi="Times New Roman" w:cs="Times New Roman"/>
                <w:color w:val="000000" w:themeColor="text1"/>
              </w:rPr>
              <w:br/>
              <w:t>elektromagnetyczne</w:t>
            </w:r>
          </w:p>
        </w:tc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IEC 61326-1, przenośne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Bezpieczeństwo</w:t>
            </w:r>
          </w:p>
        </w:tc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IEC 61010-1, maks. 30 V do uziemienia,</w:t>
            </w:r>
            <w:r w:rsidRPr="00976D0C">
              <w:rPr>
                <w:rFonts w:ascii="Times New Roman" w:hAnsi="Times New Roman" w:cs="Times New Roman"/>
                <w:color w:val="000000" w:themeColor="text1"/>
              </w:rPr>
              <w:br/>
              <w:t>stopień zanieczyszczeń 2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Zasilanie</w:t>
            </w:r>
          </w:p>
        </w:tc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4 akumulatory AA, NEDA</w:t>
            </w:r>
            <w:r w:rsidRPr="00976D0C">
              <w:rPr>
                <w:rFonts w:ascii="Times New Roman" w:hAnsi="Times New Roman" w:cs="Times New Roman"/>
                <w:color w:val="000000" w:themeColor="text1"/>
              </w:rPr>
              <w:br/>
              <w:t>1,5 A, IEC LR6</w:t>
            </w:r>
          </w:p>
        </w:tc>
      </w:tr>
      <w:tr w:rsidR="00976D0C" w:rsidRPr="00976D0C" w:rsidTr="00976D0C">
        <w:trPr>
          <w:tblCellSpacing w:w="15" w:type="dxa"/>
        </w:trPr>
        <w:tc>
          <w:tcPr>
            <w:tcW w:w="2264" w:type="pct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Maksymalne napięcie podawane pomiędzy złączem mA i uziemieniem albo pomiędzy dowolnymi dwoma złączami </w:t>
            </w:r>
          </w:p>
        </w:tc>
        <w:tc>
          <w:tcPr>
            <w:tcW w:w="2686" w:type="pct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30 V</w:t>
            </w:r>
          </w:p>
        </w:tc>
      </w:tr>
    </w:tbl>
    <w:p w:rsidR="00976D0C" w:rsidRPr="00976D0C" w:rsidRDefault="00976D0C" w:rsidP="00976D0C">
      <w:pPr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740"/>
        <w:gridCol w:w="6332"/>
      </w:tblGrid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Pomiar prądu mA DC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1500" w:type="pct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Zakres</w:t>
            </w:r>
          </w:p>
        </w:tc>
        <w:tc>
          <w:tcPr>
            <w:tcW w:w="3500" w:type="pct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0-24 mA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Rozdzielczość</w:t>
            </w:r>
          </w:p>
        </w:tc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0,001 mA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Dokładność</w:t>
            </w:r>
            <w:r w:rsidRPr="00976D0C">
              <w:rPr>
                <w:rFonts w:ascii="Times New Roman" w:hAnsi="Times New Roman" w:cs="Times New Roman"/>
                <w:color w:val="000000" w:themeColor="text1"/>
              </w:rPr>
              <w:br/>
              <w:t>(% odczytu + wskazania)</w:t>
            </w:r>
          </w:p>
        </w:tc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0,010% + 2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μA</w:t>
            </w:r>
            <w:proofErr w:type="spellEnd"/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Współczynnik temperatury</w:t>
            </w:r>
          </w:p>
        </w:tc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± (0,002% odczytu + 0,002% zakresu) /°C (&lt;</w:t>
            </w:r>
            <w:smartTag w:uri="urn:schemas-microsoft-com:office:smarttags" w:element="metricconverter">
              <w:smartTagPr>
                <w:attr w:name="ProductID" w:val="18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18°C</w:t>
              </w:r>
            </w:smartTag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lub &gt;</w:t>
            </w:r>
            <w:smartTag w:uri="urn:schemas-microsoft-com:office:smarttags" w:element="metricconverter">
              <w:smartTagPr>
                <w:attr w:name="ProductID" w:val="28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28°C</w:t>
              </w:r>
            </w:smartTag>
            <w:r w:rsidRPr="00976D0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</w:tr>
    </w:tbl>
    <w:p w:rsidR="00976D0C" w:rsidRPr="00976D0C" w:rsidRDefault="00976D0C" w:rsidP="00976D0C">
      <w:pPr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740"/>
        <w:gridCol w:w="6332"/>
      </w:tblGrid>
      <w:tr w:rsidR="00976D0C" w:rsidRPr="00976D0C" w:rsidTr="00E842D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Pomiar miliwoltów i źródło</w:t>
            </w:r>
          </w:p>
        </w:tc>
      </w:tr>
      <w:tr w:rsidR="00976D0C" w:rsidRPr="00976D0C" w:rsidTr="00E842D3">
        <w:trPr>
          <w:tblCellSpacing w:w="15" w:type="dxa"/>
        </w:trPr>
        <w:tc>
          <w:tcPr>
            <w:tcW w:w="1500" w:type="pct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Zakres</w:t>
            </w:r>
          </w:p>
        </w:tc>
        <w:tc>
          <w:tcPr>
            <w:tcW w:w="3500" w:type="pct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-10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mV</w:t>
            </w:r>
            <w:proofErr w:type="spellEnd"/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do 75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mV</w:t>
            </w:r>
            <w:proofErr w:type="spellEnd"/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Rozdzielczość</w:t>
            </w:r>
          </w:p>
        </w:tc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0,01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mV</w:t>
            </w:r>
            <w:proofErr w:type="spellEnd"/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Dokładność</w:t>
            </w:r>
            <w:r w:rsidRPr="00976D0C">
              <w:rPr>
                <w:rFonts w:ascii="Times New Roman" w:hAnsi="Times New Roman" w:cs="Times New Roman"/>
                <w:color w:val="000000" w:themeColor="text1"/>
              </w:rPr>
              <w:br/>
              <w:t>(% odczytu + wskazania)</w:t>
            </w:r>
          </w:p>
        </w:tc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0,015% + 10 </w:t>
            </w:r>
            <w:proofErr w:type="spellStart"/>
            <w:r w:rsidRPr="00976D0C">
              <w:rPr>
                <w:rFonts w:ascii="Times New Roman" w:hAnsi="Times New Roman" w:cs="Times New Roman"/>
                <w:color w:val="000000" w:themeColor="text1"/>
              </w:rPr>
              <w:t>μV</w:t>
            </w:r>
            <w:proofErr w:type="spellEnd"/>
          </w:p>
        </w:tc>
      </w:tr>
      <w:tr w:rsidR="00976D0C" w:rsidRPr="00976D0C" w:rsidTr="00E842D3">
        <w:trPr>
          <w:tblCellSpacing w:w="15" w:type="dxa"/>
        </w:trPr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Współczynnik temperatury</w:t>
            </w:r>
          </w:p>
        </w:tc>
        <w:tc>
          <w:tcPr>
            <w:tcW w:w="0" w:type="auto"/>
            <w:vAlign w:val="center"/>
          </w:tcPr>
          <w:p w:rsidR="00976D0C" w:rsidRPr="00976D0C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6D0C">
              <w:rPr>
                <w:rFonts w:ascii="Times New Roman" w:hAnsi="Times New Roman" w:cs="Times New Roman"/>
                <w:color w:val="000000" w:themeColor="text1"/>
              </w:rPr>
              <w:t>± (0,002% odczytu + 0,002% zakresu) /°C (&lt;</w:t>
            </w:r>
            <w:smartTag w:uri="urn:schemas-microsoft-com:office:smarttags" w:element="metricconverter">
              <w:smartTagPr>
                <w:attr w:name="ProductID" w:val="18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18°C</w:t>
              </w:r>
            </w:smartTag>
            <w:r w:rsidRPr="00976D0C">
              <w:rPr>
                <w:rFonts w:ascii="Times New Roman" w:hAnsi="Times New Roman" w:cs="Times New Roman"/>
                <w:color w:val="000000" w:themeColor="text1"/>
              </w:rPr>
              <w:t xml:space="preserve"> lub &gt;</w:t>
            </w:r>
            <w:smartTag w:uri="urn:schemas-microsoft-com:office:smarttags" w:element="metricconverter">
              <w:smartTagPr>
                <w:attr w:name="ProductID" w:val="28ﾰC"/>
              </w:smartTagPr>
              <w:r w:rsidRPr="00976D0C">
                <w:rPr>
                  <w:rFonts w:ascii="Times New Roman" w:hAnsi="Times New Roman" w:cs="Times New Roman"/>
                  <w:color w:val="000000" w:themeColor="text1"/>
                </w:rPr>
                <w:t>28°C</w:t>
              </w:r>
            </w:smartTag>
            <w:r w:rsidRPr="00976D0C">
              <w:rPr>
                <w:rFonts w:ascii="Times New Roman" w:hAnsi="Times New Roman" w:cs="Times New Roman"/>
                <w:color w:val="000000" w:themeColor="text1"/>
              </w:rPr>
              <w:t>)</w:t>
            </w:r>
          </w:p>
        </w:tc>
      </w:tr>
    </w:tbl>
    <w:p w:rsidR="00976D0C" w:rsidRPr="00976D0C" w:rsidRDefault="00976D0C" w:rsidP="00976D0C">
      <w:pPr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51"/>
        <w:gridCol w:w="2198"/>
        <w:gridCol w:w="1298"/>
        <w:gridCol w:w="1298"/>
        <w:gridCol w:w="1256"/>
        <w:gridCol w:w="1271"/>
      </w:tblGrid>
      <w:tr w:rsidR="00976D0C" w:rsidRPr="000B6E09" w:rsidTr="00E842D3">
        <w:trPr>
          <w:tblCellSpacing w:w="15" w:type="dxa"/>
        </w:trPr>
        <w:tc>
          <w:tcPr>
            <w:tcW w:w="0" w:type="auto"/>
            <w:gridSpan w:val="6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lastRenderedPageBreak/>
              <w:t>Wejście i wyjście termopary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br/>
              <w:t>TC Typ</w:t>
            </w:r>
          </w:p>
        </w:tc>
        <w:tc>
          <w:tcPr>
            <w:tcW w:w="1223" w:type="pct"/>
            <w:vMerge w:val="restart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0B6E09">
              <w:rPr>
                <w:rStyle w:val="prdspecitem"/>
                <w:rFonts w:ascii="Times New Roman" w:hAnsi="Times New Roman" w:cs="Times New Roman"/>
                <w:color w:val="000000" w:themeColor="text1"/>
              </w:rPr>
              <w:t>Zakres (°C)</w:t>
            </w:r>
          </w:p>
        </w:tc>
        <w:tc>
          <w:tcPr>
            <w:tcW w:w="0" w:type="auto"/>
            <w:gridSpan w:val="2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Pomiar (°C)</w:t>
            </w:r>
          </w:p>
        </w:tc>
        <w:tc>
          <w:tcPr>
            <w:tcW w:w="0" w:type="auto"/>
            <w:gridSpan w:val="2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Źródło (°C)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 rok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 rok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 rok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 rok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E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-250 do </w:t>
            </w:r>
            <w:smartTag w:uri="urn:schemas-microsoft-com:office:smarttags" w:element="metricconverter">
              <w:smartTagPr>
                <w:attr w:name="ProductID" w:val="2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200°C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0.6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0.9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-200 do </w:t>
            </w:r>
            <w:smartTag w:uri="urn:schemas-microsoft-com:office:smarttags" w:element="metricconverter">
              <w:smartTagPr>
                <w:attr w:name="ProductID" w:val="-1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-100°C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0.5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0.8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-100 do </w:t>
            </w:r>
            <w:smartTag w:uri="urn:schemas-microsoft-com:office:smarttags" w:element="metricconverter">
              <w:smartTagPr>
                <w:attr w:name="ProductID" w:val="6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600°C</w:t>
              </w:r>
            </w:smartTag>
            <w:bookmarkStart w:id="0" w:name="_GoBack"/>
            <w:bookmarkEnd w:id="0"/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600 do </w:t>
            </w:r>
            <w:smartTag w:uri="urn:schemas-microsoft-com:office:smarttags" w:element="metricconverter">
              <w:smartTagPr>
                <w:attr w:name="ProductID" w:val="10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1000°C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0.6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0.2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N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-200 do </w:t>
            </w:r>
            <w:smartTag w:uri="urn:schemas-microsoft-com:office:smarttags" w:element="metricconverter">
              <w:smartTagPr>
                <w:attr w:name="ProductID" w:val="-1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-100°C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1.5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0.6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0.9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-100 do </w:t>
            </w:r>
            <w:smartTag w:uri="urn:schemas-microsoft-com:office:smarttags" w:element="metricconverter">
              <w:smartTagPr>
                <w:attr w:name="ProductID" w:val="9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900°C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0.5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0.8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0.5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0.8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900 do </w:t>
            </w:r>
            <w:smartTag w:uri="urn:schemas-microsoft-com:office:smarttags" w:element="metricconverter">
              <w:smartTagPr>
                <w:attr w:name="ProductID" w:val="13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1300°C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0.6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0.9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J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-210 do </w:t>
            </w:r>
            <w:smartTag w:uri="urn:schemas-microsoft-com:office:smarttags" w:element="metricconverter">
              <w:smartTagPr>
                <w:attr w:name="ProductID" w:val="-1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-100°C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0.6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0.9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-100 do </w:t>
            </w:r>
            <w:smartTag w:uri="urn:schemas-microsoft-com:office:smarttags" w:element="metricconverter">
              <w:smartTagPr>
                <w:attr w:name="ProductID" w:val="8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800°C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0.2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800 do </w:t>
            </w:r>
            <w:smartTag w:uri="urn:schemas-microsoft-com:office:smarttags" w:element="metricconverter">
              <w:smartTagPr>
                <w:attr w:name="ProductID" w:val="12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1200°C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0.5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0.8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K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-200 do </w:t>
            </w:r>
            <w:smartTag w:uri="urn:schemas-microsoft-com:office:smarttags" w:element="metricconverter">
              <w:smartTagPr>
                <w:attr w:name="ProductID" w:val="-1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-100°C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0.7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0.6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-100 do </w:t>
            </w:r>
            <w:smartTag w:uri="urn:schemas-microsoft-com:office:smarttags" w:element="metricconverter">
              <w:smartTagPr>
                <w:attr w:name="ProductID" w:val="4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400°C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400 do </w:t>
            </w:r>
            <w:smartTag w:uri="urn:schemas-microsoft-com:office:smarttags" w:element="metricconverter">
              <w:smartTagPr>
                <w:attr w:name="ProductID" w:val="12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1200°C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0.5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0.8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1200 do </w:t>
            </w:r>
            <w:smartTag w:uri="urn:schemas-microsoft-com:office:smarttags" w:element="metricconverter">
              <w:smartTagPr>
                <w:attr w:name="ProductID" w:val="1372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1372°C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0.7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T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-250 do </w:t>
            </w:r>
            <w:smartTag w:uri="urn:schemas-microsoft-com:office:smarttags" w:element="metricconverter">
              <w:smartTagPr>
                <w:attr w:name="ProductID" w:val="-2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-200°C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1.7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2.5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0.9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1.4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-200 do </w:t>
            </w:r>
            <w:smartTag w:uri="urn:schemas-microsoft-com:office:smarttags" w:element="metricconverter">
              <w:smartTagPr>
                <w:attr w:name="ProductID" w:val="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0.6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0.9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0.6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0 do </w:t>
            </w:r>
            <w:smartTag w:uri="urn:schemas-microsoft-com:office:smarttags" w:element="metricconverter">
              <w:smartTagPr>
                <w:attr w:name="ProductID" w:val="4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400°C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600 do </w:t>
            </w:r>
            <w:smartTag w:uri="urn:schemas-microsoft-com:office:smarttags" w:element="metricconverter">
              <w:smartTagPr>
                <w:attr w:name="ProductID" w:val="8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800°C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1.5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800 do </w:t>
            </w:r>
            <w:smartTag w:uri="urn:schemas-microsoft-com:office:smarttags" w:element="metricconverter">
              <w:smartTagPr>
                <w:attr w:name="ProductID" w:val="10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1000°C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1.5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0.8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1.2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1000 do </w:t>
            </w:r>
            <w:smartTag w:uri="urn:schemas-microsoft-com:office:smarttags" w:element="metricconverter">
              <w:smartTagPr>
                <w:attr w:name="ProductID" w:val="182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1820°C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0.9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0.8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1.2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R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-20 do </w:t>
            </w:r>
            <w:smartTag w:uri="urn:schemas-microsoft-com:office:smarttags" w:element="metricconverter">
              <w:smartTagPr>
                <w:attr w:name="ProductID" w:val="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2.8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1.2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1.8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0 do </w:t>
            </w:r>
            <w:smartTag w:uri="urn:schemas-microsoft-com:office:smarttags" w:element="metricconverter">
              <w:smartTagPr>
                <w:attr w:name="ProductID" w:val="1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100°C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1.5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2.2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1.1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1.7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100 do </w:t>
            </w:r>
            <w:smartTag w:uri="urn:schemas-microsoft-com:office:smarttags" w:element="metricconverter">
              <w:smartTagPr>
                <w:attr w:name="ProductID" w:val="1767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1767°C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1.5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0.9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1.4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S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-20 do </w:t>
            </w:r>
            <w:smartTag w:uri="urn:schemas-microsoft-com:office:smarttags" w:element="metricconverter">
              <w:smartTagPr>
                <w:attr w:name="ProductID" w:val="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2.8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1.2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1.8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0 do </w:t>
            </w:r>
            <w:smartTag w:uri="urn:schemas-microsoft-com:office:smarttags" w:element="metricconverter">
              <w:smartTagPr>
                <w:attr w:name="ProductID" w:val="2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200°C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1.5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2.1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1.1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1.7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200 do </w:t>
            </w:r>
            <w:smartTag w:uri="urn:schemas-microsoft-com:office:smarttags" w:element="metricconverter">
              <w:smartTagPr>
                <w:attr w:name="ProductID" w:val="14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1400°C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0.9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1.4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0.9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1.4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1400 do </w:t>
            </w:r>
            <w:smartTag w:uri="urn:schemas-microsoft-com:office:smarttags" w:element="metricconverter">
              <w:smartTagPr>
                <w:attr w:name="ProductID" w:val="1767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1767°C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1.1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1.7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1.5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0 do </w:t>
            </w:r>
            <w:smartTag w:uri="urn:schemas-microsoft-com:office:smarttags" w:element="metricconverter">
              <w:smartTagPr>
                <w:attr w:name="ProductID" w:val="8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800°C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0.6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0.9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0.6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0.9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800 do </w:t>
            </w:r>
            <w:smartTag w:uri="urn:schemas-microsoft-com:office:smarttags" w:element="metricconverter">
              <w:smartTagPr>
                <w:attr w:name="ProductID" w:val="12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1200°C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0.8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1.2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0.7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1200 do </w:t>
            </w:r>
            <w:smartTag w:uri="urn:schemas-microsoft-com:office:smarttags" w:element="metricconverter">
              <w:smartTagPr>
                <w:attr w:name="ProductID" w:val="18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1800°C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1.1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1.6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0.9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1.4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1800 do </w:t>
            </w:r>
            <w:smartTag w:uri="urn:schemas-microsoft-com:office:smarttags" w:element="metricconverter">
              <w:smartTagPr>
                <w:attr w:name="ProductID" w:val="2316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2316°C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L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-200 do </w:t>
            </w:r>
            <w:smartTag w:uri="urn:schemas-microsoft-com:office:smarttags" w:element="metricconverter">
              <w:smartTagPr>
                <w:attr w:name="ProductID" w:val="-1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-100°C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0.6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0.9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-100 do </w:t>
            </w:r>
            <w:smartTag w:uri="urn:schemas-microsoft-com:office:smarttags" w:element="metricconverter">
              <w:smartTagPr>
                <w:attr w:name="ProductID" w:val="8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800°C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0.2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800 do </w:t>
            </w:r>
            <w:smartTag w:uri="urn:schemas-microsoft-com:office:smarttags" w:element="metricconverter">
              <w:smartTagPr>
                <w:attr w:name="ProductID" w:val="9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900°C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0.5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0.8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0.2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U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-200 do </w:t>
            </w:r>
            <w:smartTag w:uri="urn:schemas-microsoft-com:office:smarttags" w:element="metricconverter">
              <w:smartTagPr>
                <w:attr w:name="ProductID" w:val="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0.6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0.9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0.6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0 do </w:t>
            </w:r>
            <w:smartTag w:uri="urn:schemas-microsoft-com:office:smarttags" w:element="metricconverter">
              <w:smartTagPr>
                <w:attr w:name="ProductID" w:val="6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600°C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BP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0 do </w:t>
            </w:r>
            <w:smartTag w:uri="urn:schemas-microsoft-com:office:smarttags" w:element="metricconverter">
              <w:smartTagPr>
                <w:attr w:name="ProductID" w:val="10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1000°C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1.5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0.6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1000 do </w:t>
            </w:r>
            <w:smartTag w:uri="urn:schemas-microsoft-com:office:smarttags" w:element="metricconverter">
              <w:smartTagPr>
                <w:attr w:name="ProductID" w:val="20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2000°C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1.6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2.4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0.6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0.9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2000 do </w:t>
            </w:r>
            <w:smartTag w:uri="urn:schemas-microsoft-com:office:smarttags" w:element="metricconverter">
              <w:smartTagPr>
                <w:attr w:name="ProductID" w:val="25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2500°C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0.8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1.2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XK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-200 do </w:t>
            </w:r>
            <w:smartTag w:uri="urn:schemas-microsoft-com:office:smarttags" w:element="metricconverter">
              <w:smartTagPr>
                <w:attr w:name="ProductID" w:val="3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300°C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0.2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0.2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0.5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300 do </w:t>
            </w:r>
            <w:smartTag w:uri="urn:schemas-microsoft-com:office:smarttags" w:element="metricconverter">
              <w:smartTagPr>
                <w:attr w:name="ProductID" w:val="8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800°C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0.6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0.6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G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100 do </w:t>
            </w:r>
            <w:smartTag w:uri="urn:schemas-microsoft-com:office:smarttags" w:element="metricconverter">
              <w:smartTagPr>
                <w:attr w:name="ProductID" w:val="3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300°C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1.6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2.4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1.2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1.8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300 do </w:t>
            </w:r>
            <w:smartTag w:uri="urn:schemas-microsoft-com:office:smarttags" w:element="metricconverter">
              <w:smartTagPr>
                <w:attr w:name="ProductID" w:val="15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1500°C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1.5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1.5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1500 do </w:t>
            </w:r>
            <w:smartTag w:uri="urn:schemas-microsoft-com:office:smarttags" w:element="metricconverter">
              <w:smartTagPr>
                <w:attr w:name="ProductID" w:val="232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2320°C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1.6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2.4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0 do </w:t>
            </w:r>
            <w:smartTag w:uri="urn:schemas-microsoft-com:office:smarttags" w:element="metricconverter">
              <w:smartTagPr>
                <w:attr w:name="ProductID" w:val="3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300°C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1.6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2.4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1.2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1.8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300 do </w:t>
            </w:r>
            <w:smartTag w:uri="urn:schemas-microsoft-com:office:smarttags" w:element="metricconverter">
              <w:smartTagPr>
                <w:attr w:name="ProductID" w:val="15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1500°C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1.5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1.5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1500 do </w:t>
            </w:r>
            <w:smartTag w:uri="urn:schemas-microsoft-com:office:smarttags" w:element="metricconverter">
              <w:smartTagPr>
                <w:attr w:name="ProductID" w:val="2315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2315°C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1.6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2.4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P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0 do </w:t>
            </w:r>
            <w:smartTag w:uri="urn:schemas-microsoft-com:office:smarttags" w:element="metricconverter">
              <w:smartTagPr>
                <w:attr w:name="ProductID" w:val="10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1000°C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1.6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2.4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0.6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0.9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1000 do </w:t>
            </w:r>
            <w:smartTag w:uri="urn:schemas-microsoft-com:office:smarttags" w:element="metricconverter">
              <w:smartTagPr>
                <w:attr w:name="ProductID" w:val="1395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1395°C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0.8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1.2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 w:val="restart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M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-50 do </w:t>
            </w:r>
            <w:smartTag w:uri="urn:schemas-microsoft-com:office:smarttags" w:element="metricconverter">
              <w:smartTagPr>
                <w:attr w:name="ProductID" w:val="1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100°C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1.5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0.4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0.6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100 do </w:t>
            </w:r>
            <w:smartTag w:uri="urn:schemas-microsoft-com:office:smarttags" w:element="metricconverter">
              <w:smartTagPr>
                <w:attr w:name="ProductID" w:val="100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1000°C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1.6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2.4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0.6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0.9</w:t>
            </w:r>
          </w:p>
        </w:tc>
      </w:tr>
      <w:tr w:rsidR="00976D0C" w:rsidRPr="000B6E09" w:rsidTr="00E842D3">
        <w:trPr>
          <w:tblCellSpacing w:w="15" w:type="dxa"/>
        </w:trPr>
        <w:tc>
          <w:tcPr>
            <w:tcW w:w="0" w:type="auto"/>
            <w:vMerge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 xml:space="preserve">1000 do </w:t>
            </w:r>
            <w:smartTag w:uri="urn:schemas-microsoft-com:office:smarttags" w:element="metricconverter">
              <w:smartTagPr>
                <w:attr w:name="ProductID" w:val="1410ﾰC"/>
              </w:smartTagPr>
              <w:r w:rsidRPr="000B6E09">
                <w:rPr>
                  <w:rFonts w:ascii="Times New Roman" w:hAnsi="Times New Roman" w:cs="Times New Roman"/>
                  <w:color w:val="000000" w:themeColor="text1"/>
                </w:rPr>
                <w:t>1410°C</w:t>
              </w:r>
            </w:smartTag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0.8</w:t>
            </w:r>
          </w:p>
        </w:tc>
        <w:tc>
          <w:tcPr>
            <w:tcW w:w="0" w:type="auto"/>
            <w:vAlign w:val="center"/>
          </w:tcPr>
          <w:p w:rsidR="00976D0C" w:rsidRPr="000B6E09" w:rsidRDefault="00976D0C" w:rsidP="00E84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B6E09">
              <w:rPr>
                <w:rFonts w:ascii="Times New Roman" w:hAnsi="Times New Roman" w:cs="Times New Roman"/>
                <w:color w:val="000000" w:themeColor="text1"/>
              </w:rPr>
              <w:t>1.2</w:t>
            </w:r>
          </w:p>
        </w:tc>
      </w:tr>
    </w:tbl>
    <w:p w:rsidR="00E8699A" w:rsidRPr="00976D0C" w:rsidRDefault="00E8699A" w:rsidP="000B6E09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sectPr w:rsidR="00E8699A" w:rsidRPr="00976D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E46"/>
    <w:rsid w:val="000624AA"/>
    <w:rsid w:val="000B6E09"/>
    <w:rsid w:val="000E3442"/>
    <w:rsid w:val="00804F2C"/>
    <w:rsid w:val="00936E46"/>
    <w:rsid w:val="00976D0C"/>
    <w:rsid w:val="00D82F6F"/>
    <w:rsid w:val="00E86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65451C-DF02-47BD-A465-C9F71D032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qFormat/>
    <w:rsid w:val="000624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624A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prdspecitem">
    <w:name w:val="prdspecitem"/>
    <w:basedOn w:val="Domylnaczcionkaakapitu"/>
    <w:rsid w:val="00976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2399</Words>
  <Characters>14400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2019-11-04T12:49:00Z</dcterms:created>
  <dcterms:modified xsi:type="dcterms:W3CDTF">2019-11-04T12:55:00Z</dcterms:modified>
</cp:coreProperties>
</file>