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2F7" w:rsidRDefault="00F85F99" w:rsidP="00C97DCD">
      <w:pPr>
        <w:jc w:val="center"/>
        <w:rPr>
          <w:b/>
        </w:rPr>
      </w:pPr>
      <w:r w:rsidRPr="00C97DCD">
        <w:rPr>
          <w:b/>
          <w:sz w:val="28"/>
        </w:rPr>
        <w:t>Szczegółowy Opis Przedmiotu Zamówienia</w:t>
      </w:r>
    </w:p>
    <w:p w:rsidR="00F85F99" w:rsidRDefault="00F85F99">
      <w:pPr>
        <w:rPr>
          <w:b/>
        </w:rPr>
      </w:pPr>
    </w:p>
    <w:p w:rsidR="00C97DCD" w:rsidRDefault="00C97DCD">
      <w:pPr>
        <w:rPr>
          <w:b/>
        </w:rPr>
      </w:pPr>
    </w:p>
    <w:p w:rsidR="00E52046" w:rsidRDefault="00E52046" w:rsidP="00E52046">
      <w:pPr>
        <w:rPr>
          <w:b/>
        </w:rPr>
      </w:pPr>
      <w:r>
        <w:rPr>
          <w:b/>
        </w:rPr>
        <w:t xml:space="preserve">Zadanie 1 </w:t>
      </w:r>
    </w:p>
    <w:p w:rsidR="0085125E" w:rsidRPr="0085125E" w:rsidRDefault="0085125E" w:rsidP="0085125E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85125E">
        <w:rPr>
          <w:rFonts w:ascii="Arial" w:eastAsia="Times New Roman" w:hAnsi="Arial" w:cs="Arial"/>
          <w:b/>
          <w:bCs/>
          <w:color w:val="000000"/>
          <w:sz w:val="27"/>
          <w:szCs w:val="27"/>
        </w:rPr>
        <w:t>Cyfrowy miernik wielofunkcyjny z wypos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</w:rPr>
        <w:t>a</w:t>
      </w:r>
      <w:r w:rsidRPr="0085125E">
        <w:rPr>
          <w:rFonts w:ascii="Arial" w:eastAsia="Times New Roman" w:hAnsi="Arial" w:cs="Arial"/>
          <w:b/>
          <w:bCs/>
          <w:color w:val="000000"/>
          <w:sz w:val="27"/>
          <w:szCs w:val="27"/>
        </w:rPr>
        <w:t>żeniem</w:t>
      </w:r>
    </w:p>
    <w:p w:rsidR="00E52046" w:rsidRDefault="00E52046">
      <w:pPr>
        <w:rPr>
          <w:b/>
        </w:rPr>
      </w:pPr>
    </w:p>
    <w:p w:rsidR="00FF6ACA" w:rsidRPr="00C54943" w:rsidRDefault="0085125E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Cyfrowy miernik wielofunkcyjny wyposażony w 2 wejścia do elektrod (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,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przewodn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., O2, ISE), umożliwiając jednoczesny pomiar 2 parametrów.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Pozostałe wymagania: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pomiar przy użyciu jednego przycisku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własne programy użytkownika i ustawienia chronione hasłem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zgodność z GLP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wbudowany wodoodporny port USB do drukarki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wyświetlacz podświetlany, graficzny, z automatyczną funkcją oszczędności energii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zasilanie 115 V/ 250 V, bateryjne-4 baterie AA lub akumulatorki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walizka zestawu terenowego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wodoodporny port USB dla drukarki, PC, klawiatury oraz pamięć USB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automatyczne rozpoznawanie buforów</w:t>
      </w:r>
    </w:p>
    <w:p w:rsidR="00FF6ACA" w:rsidRPr="00C54943" w:rsidRDefault="00FF6ACA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</w:p>
    <w:p w:rsidR="00C54943" w:rsidRDefault="0085125E" w:rsidP="00C54943">
      <w:pPr>
        <w:rPr>
          <w:rFonts w:asciiTheme="majorHAnsi" w:hAnsiTheme="majorHAnsi" w:cstheme="majorHAnsi"/>
          <w:color w:val="272727"/>
          <w:sz w:val="22"/>
          <w:szCs w:val="18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Wymagania dotyczące elektrod wchodzących w skład zestawu:</w:t>
      </w:r>
    </w:p>
    <w:p w:rsidR="00C54943" w:rsidRDefault="0085125E" w:rsidP="00C54943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Wszystkie elektrody muszą być kompatybilne z miernikiem</w:t>
      </w:r>
      <w:r w:rsid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,</w:t>
      </w:r>
    </w:p>
    <w:p w:rsidR="00C54943" w:rsidRPr="00C54943" w:rsidRDefault="0085125E" w:rsidP="00C54943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elektroda do pomiaru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PHC 101 (sztuk 1).</w:t>
      </w:r>
    </w:p>
    <w:p w:rsidR="00C54943" w:rsidRDefault="0085125E" w:rsidP="00C54943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Laboratoryjna elektroda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INTELLICAL, elektrolit żelowy, bezobsługowa, długość kabla 1m</w:t>
      </w:r>
      <w:r w:rsid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,</w:t>
      </w:r>
    </w:p>
    <w:p w:rsidR="00C54943" w:rsidRDefault="0085125E" w:rsidP="00C54943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elektroda do pomiaru przewodności CDC401 (sztuk 1). </w:t>
      </w:r>
      <w:r w:rsid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Laboratoryjna elektroda przewod</w:t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ności INTELLICAL, 4-biegunowa, grafitowa</w:t>
      </w:r>
      <w:r w:rsid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, </w:t>
      </w:r>
    </w:p>
    <w:p w:rsidR="00C54943" w:rsidRPr="00C54943" w:rsidRDefault="0085125E" w:rsidP="00C54943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elektroda do pomiaru tlenu rozpuszczonego LDO101 (sztuk 1). Laboratoryjny czujnik INTELLICAL LDO.</w:t>
      </w:r>
    </w:p>
    <w:p w:rsidR="00C54943" w:rsidRDefault="00C54943" w:rsidP="00C54943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</w:p>
    <w:p w:rsidR="00C54943" w:rsidRDefault="0085125E" w:rsidP="00C54943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Do powyższych elektrod należy dołączyć roztwory kalibracyjne. </w:t>
      </w:r>
    </w:p>
    <w:p w:rsidR="00F23C09" w:rsidRPr="00C54943" w:rsidRDefault="0085125E" w:rsidP="00C54943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Dla elektrody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powinny to być 3 roztwory buforowe gotowe do użycia w butelkach o pojemności 1 L każdy, tj. bufory o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4,01,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7,00 oraz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10,01</w:t>
      </w:r>
    </w:p>
    <w:p w:rsidR="00C60968" w:rsidRDefault="00C60968">
      <w:pPr>
        <w:rPr>
          <w:rFonts w:asciiTheme="majorHAnsi" w:hAnsiTheme="majorHAnsi" w:cstheme="majorHAnsi"/>
          <w:color w:val="272727"/>
          <w:sz w:val="20"/>
          <w:szCs w:val="18"/>
          <w:shd w:val="clear" w:color="auto" w:fill="FFFFFF"/>
        </w:rPr>
      </w:pPr>
    </w:p>
    <w:p w:rsidR="00C54943" w:rsidRDefault="00C54943" w:rsidP="00C54943">
      <w:pPr>
        <w:rPr>
          <w:b/>
        </w:rPr>
      </w:pPr>
    </w:p>
    <w:p w:rsidR="00C54943" w:rsidRPr="00C60968" w:rsidRDefault="00C54943" w:rsidP="00C54943">
      <w:pPr>
        <w:rPr>
          <w:b/>
        </w:rPr>
      </w:pPr>
      <w:r>
        <w:rPr>
          <w:b/>
        </w:rPr>
        <w:t>Zadanie 2</w:t>
      </w:r>
    </w:p>
    <w:p w:rsidR="00C54943" w:rsidRPr="00C54943" w:rsidRDefault="00C54943" w:rsidP="00C54943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C54943">
        <w:rPr>
          <w:rFonts w:ascii="Arial" w:eastAsia="Times New Roman" w:hAnsi="Arial" w:cs="Arial"/>
          <w:b/>
          <w:bCs/>
          <w:color w:val="000000"/>
          <w:sz w:val="27"/>
          <w:szCs w:val="27"/>
        </w:rPr>
        <w:t>Suszarka laboratoryjna</w:t>
      </w:r>
    </w:p>
    <w:p w:rsidR="00C54943" w:rsidRPr="00C54943" w:rsidRDefault="00C54943" w:rsidP="00C54943">
      <w:p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Suszarka laboratoryjna z wymuszonym obiegiem powietrza w obudowie z blachy nierdzewnej o szczegółowej specyfikacji: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Pojemność: 56 l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Sterownik: mikroprocesorowy PID z graficznym wyświetlaczem LCD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Wyświetlacz: 4,3’’ kolorowy panel dotykowy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Pamięć wyników pomiarowych (2048 danych)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Wielosegmentowy profil czasowo-temperaturowy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Możliwość cyklicznego powtarzania nastawionego programu (do 255 cykli lub nieskończoność)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Nastawianie opóźnienia startu programu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Ustawianie czasu osiągania zadanej temperatury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Rejestracja średniej, min i max wartości temperatury dla każdego segmentu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Możliwość podglądu zadanych i bieżących parametrów podczas pracy urządzenia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Możliwość wyboru trybu pracy z priorytetem czasu lub parametrów (temperatury)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lastRenderedPageBreak/>
        <w:t>Zakres temperatury: +5°C powyżej temperatury otoczenia do +300°C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Regulacja temperatury: 0,1°C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Sygnalizacja uszkodzenia czujnika temperatury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Zabezpieczenie nadtemperaturowe: klasy 2.0 zgodnie z DIN 12880/ klasy 3.1 opcja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Kontrola zaniku napięcia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Alarm wizualny i dźwiękowy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Materiał komory: stal nierdzewna kwasoodporna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zg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. z DIN 1.4301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Materiał obudowy: stal nierdzewna strukturalna (len)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Maksymalne obciążenie urządzenia: 40 kg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Maksymalne obciążenie półki: 25 kg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Wymiary zewnętrzne (szer. x gł. x wys.): 590 x 620 x 700 mm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Wymiary wewnętrzne (szer. x gł. x wys.): 400 x 360 x 390 mm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Pełne drzwi zewnętrzne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Zamknięcie na klucz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Sygnalizacja otwartych drzwi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Oświetlenie wewnętrzne LED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Ilość półek (standard/max): 2/5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Półki druciane INOX ze stali nierdzewnej z prowadnicami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Komunikacja i transfer danych przez LAN i USB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Otwór do wprowadzenia zewnętrznego czujnika w lewej ścianie urządzenia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Półki druciane ze stali nierdzewnej z kompletem prowadnic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Instrukcja obsługi oraz menu w języku polskim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Zasilanie: 230 V</w:t>
      </w:r>
    </w:p>
    <w:p w:rsidR="00C54943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Moc znamionowa: 1700 W</w:t>
      </w:r>
    </w:p>
    <w:p w:rsidR="00C60968" w:rsidRPr="00C54943" w:rsidRDefault="00C54943" w:rsidP="00C54943">
      <w:pPr>
        <w:pStyle w:val="Akapitzlist"/>
        <w:numPr>
          <w:ilvl w:val="0"/>
          <w:numId w:val="14"/>
        </w:numPr>
        <w:spacing w:line="276" w:lineRule="auto"/>
        <w:rPr>
          <w:rFonts w:asciiTheme="majorHAnsi" w:hAnsiTheme="majorHAnsi" w:cstheme="majorHAnsi"/>
          <w:b/>
          <w:sz w:val="32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Waga urządzenia: 50 kg</w:t>
      </w:r>
    </w:p>
    <w:p w:rsidR="00C54943" w:rsidRDefault="00C54943">
      <w:pPr>
        <w:rPr>
          <w:b/>
        </w:rPr>
      </w:pPr>
    </w:p>
    <w:p w:rsidR="00C54943" w:rsidRDefault="00C54943">
      <w:pPr>
        <w:rPr>
          <w:b/>
        </w:rPr>
      </w:pPr>
    </w:p>
    <w:p w:rsidR="00C60968" w:rsidRPr="00C60968" w:rsidRDefault="00C60968">
      <w:pPr>
        <w:rPr>
          <w:b/>
        </w:rPr>
      </w:pPr>
      <w:r>
        <w:rPr>
          <w:b/>
        </w:rPr>
        <w:t>Zadanie 3</w:t>
      </w:r>
    </w:p>
    <w:p w:rsidR="00C60968" w:rsidRPr="00C60968" w:rsidRDefault="00C60968" w:rsidP="00C60968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C60968">
        <w:rPr>
          <w:rFonts w:ascii="Arial" w:eastAsia="Times New Roman" w:hAnsi="Arial" w:cs="Arial"/>
          <w:b/>
          <w:bCs/>
          <w:color w:val="000000"/>
          <w:sz w:val="27"/>
          <w:szCs w:val="27"/>
        </w:rPr>
        <w:t>Mikroskop stereoskopowy</w:t>
      </w:r>
    </w:p>
    <w:p w:rsidR="00C60968" w:rsidRDefault="00C60968">
      <w:pPr>
        <w:rPr>
          <w:rFonts w:asciiTheme="majorHAnsi" w:hAnsiTheme="majorHAnsi" w:cstheme="majorHAnsi"/>
          <w:color w:val="272727"/>
          <w:sz w:val="20"/>
          <w:szCs w:val="18"/>
          <w:shd w:val="clear" w:color="auto" w:fill="FFFFFF"/>
        </w:rPr>
      </w:pPr>
    </w:p>
    <w:p w:rsidR="00C60968" w:rsidRDefault="00C60968">
      <w:pPr>
        <w:rPr>
          <w:rFonts w:asciiTheme="majorHAnsi" w:hAnsiTheme="majorHAnsi" w:cstheme="majorHAnsi"/>
          <w:color w:val="272727"/>
          <w:sz w:val="20"/>
          <w:szCs w:val="18"/>
          <w:shd w:val="clear" w:color="auto" w:fill="FFFFFF"/>
        </w:rPr>
      </w:pP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System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Greenough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z katem stereo nie mniejszym niż 11 stopni,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port kamery z podziałem światła 50;50,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odległość robocza bez systemu nasadkowego;110mm,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kąt obserwacji 45 stopni z regulowanym rozstawem okularów od 55mm do 75mm,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złącze okularowe 30mm z maksymalnym polem widzenia 23mm,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złącze D=66mm do oświetlenia, gwint M52 do optyki nasadkowej lub polaryzatora,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baza statywowa szer. 200 x głęb. 310 x wys. 35mm,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kolumna 250 mm z mechanizmem i uchwytem,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zakres suwu: 145 mm, gwint M24 x 0,5 do polaryzatora,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oświetlenie Double-Spot LED,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polaryzator mocowany w statywie,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polaryzator montowany w oświetleniu w Double-Spot LED, analizator obracalny, montowany w przedniej optyce , kolorowa kamera cyfrowa z gwintem typu C,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lastRenderedPageBreak/>
        <w:t xml:space="preserve">przetwornik CMOS nie mniejszy niż 1/2,5", rozdzielczość przynajmniej 5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MPix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oprogramowanie do archiwizacji i akwizycji obrazów,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możliwość m. in.: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obróbki graficznej obrazu,, wprowadzania adnotacji,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pomiary: odległość, powierzchnia, obwód ,promień ,kąty,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liczba wystąpień bez konieczności wcześniejszej kalibracji.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moduł Panorama, moduł EDF do wykonywania zdjęć o zwiększonej głębi ostrości,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zestaw komputerowy: procesor minimum 4-rdzeniowy typu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Core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i5 (VI generacji),8 GB RAM DDR4,karta graficzna 2GB,HDD 2TB SATA, 7200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rpm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, Windows 10 64 bit, 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listwa antyprzepięciowa 5 gniazd 3m,złącza USB 2,0;USB 3,0.</w:t>
      </w:r>
    </w:p>
    <w:p w:rsidR="00C60968" w:rsidRPr="00C54943" w:rsidRDefault="00C60968" w:rsidP="00C60968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monitor 24" 1920 x 1080m.</w:t>
      </w:r>
    </w:p>
    <w:p w:rsidR="0039746C" w:rsidRDefault="0039746C" w:rsidP="0039746C">
      <w:pPr>
        <w:rPr>
          <w:rFonts w:asciiTheme="majorHAnsi" w:hAnsiTheme="majorHAnsi" w:cstheme="majorHAnsi"/>
          <w:b/>
          <w:sz w:val="28"/>
        </w:rPr>
      </w:pPr>
    </w:p>
    <w:p w:rsidR="00C54943" w:rsidRPr="00C54943" w:rsidRDefault="00C54943" w:rsidP="0039746C">
      <w:pPr>
        <w:rPr>
          <w:b/>
        </w:rPr>
      </w:pPr>
      <w:r>
        <w:rPr>
          <w:b/>
        </w:rPr>
        <w:t>Zadanie 4</w:t>
      </w:r>
    </w:p>
    <w:p w:rsidR="00C54943" w:rsidRPr="00C54943" w:rsidRDefault="00C54943" w:rsidP="00C54943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</w:rPr>
        <w:t>M</w:t>
      </w:r>
      <w:r w:rsidRPr="00C54943">
        <w:rPr>
          <w:rFonts w:ascii="Arial" w:eastAsia="Times New Roman" w:hAnsi="Arial" w:cs="Arial"/>
          <w:b/>
          <w:bCs/>
          <w:color w:val="000000"/>
          <w:sz w:val="27"/>
          <w:szCs w:val="27"/>
        </w:rPr>
        <w:t>ikroskop odwrócony</w:t>
      </w:r>
    </w:p>
    <w:p w:rsidR="0039746C" w:rsidRDefault="0039746C" w:rsidP="0039746C">
      <w:pPr>
        <w:rPr>
          <w:rFonts w:asciiTheme="majorHAnsi" w:hAnsiTheme="majorHAnsi" w:cstheme="majorHAnsi"/>
          <w:b/>
          <w:sz w:val="28"/>
        </w:rPr>
      </w:pPr>
    </w:p>
    <w:p w:rsidR="00C54943" w:rsidRPr="00C54943" w:rsidRDefault="00C54943" w:rsidP="0039746C">
      <w:pPr>
        <w:rPr>
          <w:rFonts w:asciiTheme="majorHAnsi" w:hAnsiTheme="majorHAnsi" w:cstheme="majorHAnsi"/>
          <w:b/>
          <w:sz w:val="36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Mikroskop odwrócony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Leica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DMi1: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oświetlacz LED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pole widzenia FOV 18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zintegrowane okulary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stolik z wkładką 20mm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współosiowa śruba mikro/makro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czteropozycyjny rewolwer obiektywowy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optyka korygowana do nieskończoności - moduł wymiany kondensora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regulowany stopniowo kondensor z kolektorem, przysłoną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aperturową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oraz uchwytem filtrów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włącznik ON/OFF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automatyczna korekta oświetlenia w trybach pracy: jasne pole/kontrast fazowy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zasilacz 1,00 szt.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Kondensor S80/0.30 1,00 szt.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Wsuwka kontrastu fazowego dla kondensorów S80 1,00 szt.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Obiektyw HI PLAN 4x/0.10 zakres pracy: 18.0 mm do pracy z i bez szkiełka nakrywkowego 1,00 szt.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Obiektyw HI PLAN I 10x/0.22 PH1 zakres pracy:7,8mm odpowiedni do kontrastu fazowego 1,00 szt.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Obiektyw HI PLAN I 20x/0.30 PH1 zakres pracy 3.7-2.4mm do pracy z szkiełkiem nakrywkowym o grubości 0-2mm odpowiedni do kontrastu fazowego 1,00 szt.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Pokrowiec dla DMi1</w:t>
      </w:r>
    </w:p>
    <w:p w:rsidR="00C54943" w:rsidRDefault="00C54943" w:rsidP="0039746C">
      <w:pPr>
        <w:rPr>
          <w:rFonts w:asciiTheme="majorHAnsi" w:hAnsiTheme="majorHAnsi" w:cstheme="majorHAnsi"/>
          <w:b/>
          <w:sz w:val="28"/>
        </w:rPr>
      </w:pPr>
    </w:p>
    <w:p w:rsidR="00B72BA6" w:rsidRPr="00B72BA6" w:rsidRDefault="00B72BA6" w:rsidP="0039746C">
      <w:pPr>
        <w:rPr>
          <w:b/>
        </w:rPr>
      </w:pPr>
      <w:r>
        <w:rPr>
          <w:b/>
        </w:rPr>
        <w:t>Zadanie 8</w:t>
      </w:r>
    </w:p>
    <w:p w:rsidR="0039746C" w:rsidRPr="0039746C" w:rsidRDefault="0039746C" w:rsidP="0039746C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39746C">
        <w:rPr>
          <w:rFonts w:ascii="Arial" w:eastAsia="Times New Roman" w:hAnsi="Arial" w:cs="Arial"/>
          <w:b/>
          <w:bCs/>
          <w:color w:val="000000"/>
          <w:sz w:val="27"/>
          <w:szCs w:val="27"/>
        </w:rPr>
        <w:t>Oscyloskop cyfrowy</w:t>
      </w:r>
    </w:p>
    <w:p w:rsidR="0039746C" w:rsidRDefault="0039746C" w:rsidP="0039746C">
      <w:pPr>
        <w:rPr>
          <w:rFonts w:asciiTheme="majorHAnsi" w:hAnsiTheme="majorHAnsi" w:cstheme="majorHAnsi"/>
          <w:b/>
          <w:sz w:val="28"/>
        </w:rPr>
      </w:pPr>
    </w:p>
    <w:p w:rsidR="0039746C" w:rsidRDefault="0039746C" w:rsidP="0039746C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Przedmiotem zamówienia jest oscyloskop cyfrowy o następujących parametrach: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pasmo pracy 200MHz;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możliwość rozszerzenia pasma oscyloskopu do 1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GHz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- 4 kanały analogowe;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próbkowanie: 5GSa/s przy 2 kanałach aktywnych, 2,5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Gsa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/s przy 4 kanałach aktywnych;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szybkość odświeżania przebiegów do 1.000.000 razy na sekundę;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pamięć: 2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Mpkt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w każdym kanale, 4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MPkt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przy 2-kanałach;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segmentacja pamięci do 1000 segmentów;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wyzwalanie dotykowe (z wybranego obszaru na ekranie);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lastRenderedPageBreak/>
        <w:t>- funkcjonalność dwufunkcyjnych wciskanych pokręteł;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osobne/niezależne sterowanie dla każdego kanału;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wbudowany, zintegrowany generator funkcyjny i arbitralny do 20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MHz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z możliwością generowania sygnałów zapisanych w pamięci oscyloskopu;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wbudowany, zintegrowany częstościomierz 8-cyfrowy;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cyfrowy miernik napięcia i częstotliwości (DVM);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- możliwość doposażenia w późniejszym czasie przez zakup licencji w funkcję wyzwalania i sprzętowego dekodowania standardów: I2C, SPI, CAN, </w:t>
      </w:r>
      <w:proofErr w:type="spellStart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CAN-FD</w:t>
      </w:r>
      <w:proofErr w:type="spellEnd"/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, I2S, RS-232, UART, USB PD;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zestaw gotowych sygnałów ćwiczeniowych, generowanych ze złączy na panelu czołowym;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zaawansowane funkcje matematyczne, m.in. definiowalne filtry HP, LP, trend pomiarowy, transformata FFT ze definiowanego obszaru (bramkowanie);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stabilność podstawy czasu ± 1,6 ppm + współczynnik starzenia (1 rok: ± 0,5 ppm, 2 rok: ± 0,7 ppm, 5 rok: ± 1,5 ppm, 10 rok: ± 2.0 ppm) 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komplet sond pasywnych 500MHz;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interfejs do komunikacji z sondami;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wbudowany schowek na sondy;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ekran WVGA 8,5 cala (dotykowy, pojemnościowy);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gwarancja producenta 3 lata;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interwał kalibracyjny - 3 lata;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interfejsy USB;</w:t>
      </w:r>
      <w:r w:rsidRPr="00C54943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C54943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- instrukcja użytkownika w j. polskim.</w:t>
      </w:r>
    </w:p>
    <w:p w:rsidR="00B72BA6" w:rsidRDefault="00B72BA6" w:rsidP="0039746C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</w:p>
    <w:p w:rsidR="00B72BA6" w:rsidRDefault="00B72BA6" w:rsidP="0039746C">
      <w:pP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</w:pPr>
    </w:p>
    <w:p w:rsidR="00B72BA6" w:rsidRPr="00B72BA6" w:rsidRDefault="00B72BA6" w:rsidP="0039746C">
      <w:pPr>
        <w:rPr>
          <w:b/>
        </w:rPr>
      </w:pPr>
      <w:r>
        <w:rPr>
          <w:b/>
        </w:rPr>
        <w:t>Zadanie 9</w:t>
      </w:r>
    </w:p>
    <w:p w:rsidR="00B72BA6" w:rsidRPr="00B72BA6" w:rsidRDefault="00B72BA6" w:rsidP="00B72BA6">
      <w:pPr>
        <w:pBdr>
          <w:top w:val="single" w:sz="6" w:space="4" w:color="AAAAAA"/>
          <w:bottom w:val="single" w:sz="6" w:space="4" w:color="AAAAAA"/>
        </w:pBdr>
        <w:shd w:val="clear" w:color="auto" w:fill="FFFFFF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B72BA6">
        <w:rPr>
          <w:rFonts w:ascii="Arial" w:eastAsia="Times New Roman" w:hAnsi="Arial" w:cs="Arial"/>
          <w:b/>
          <w:bCs/>
          <w:color w:val="000000"/>
          <w:sz w:val="27"/>
          <w:szCs w:val="27"/>
        </w:rPr>
        <w:t>Mobilny zestaw do wykonywania replik służących do nieniszczących badań metalograficznych</w:t>
      </w:r>
    </w:p>
    <w:p w:rsidR="00B72BA6" w:rsidRDefault="00B72BA6" w:rsidP="0039746C">
      <w:pPr>
        <w:rPr>
          <w:rFonts w:asciiTheme="majorHAnsi" w:hAnsiTheme="majorHAnsi" w:cstheme="majorHAnsi"/>
          <w:b/>
          <w:sz w:val="22"/>
        </w:rPr>
      </w:pPr>
    </w:p>
    <w:p w:rsidR="00B72BA6" w:rsidRPr="00B72BA6" w:rsidRDefault="00B72BA6" w:rsidP="00B72BA6">
      <w:pPr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Mobilny zestaw do wykonywania replik służących do nieniszczących badań metalograficznych składający się z :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Aluminiowej walizki z wkładami zabezpieczającymi na wszystkie niezbędne akcesoria potrzebne do pracy w terenie, z miejscami na: 1 dozownik ręczny, 5 nowych wkładów i 2 wkłady używane, 2 x 35 szt. dysz mieszania statycznego, końcówki dyszy, podkład papierowy, płyn czyszczący i gotowe repliki.</w:t>
      </w:r>
      <w:r w:rsidRPr="00B72BA6">
        <w:rPr>
          <w:rFonts w:asciiTheme="majorHAnsi" w:hAnsiTheme="majorHAnsi" w:cstheme="majorHAnsi"/>
          <w:color w:val="272727"/>
          <w:sz w:val="22"/>
          <w:szCs w:val="18"/>
        </w:rPr>
        <w:br/>
      </w: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(nr katalogowy 40900067wg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Wymiary (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dł.x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szer.x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wys.) = 445x155x330 mm, masa 3,2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kg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Dwuskładnikowa guma silikonowa o specjalnie dobranym składzie, do ręcznego ugniatania i formowania replik RepliFix-2 lub produkt równoważna spełniających kryteria. Wiążąca się trwale z replikami silikonowymi typu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RepliSet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. Umożliwiająca bezpośrednio odwzorowanie kształtu badanej powierzchni podczas pomiarów profilu kształtu. Czas przydatności do użycia po zmieszaniu: 2 - 3 min., czas wiązania: 10 min. w temperaturze 25° C (nr katalogowy 40900084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Jeden zestaw zawiera 500 g gotowego produktu, czyli dwa składniki po 250 g: żółty (RepliFix-2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Yellow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) i niebieski (RepliFix-2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Blue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).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Dwuskładnikowa guma silikonowa o specjalnie dobranym składzie, do ręcznego ugniatania i formowania replik RepliFix-20 lub produkt równoważna spełniających kryteria. Wiążąca się trwale z replikami silikonowymi typu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RepliSet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. Umożliwiająca bezpośrednio odwzorowanie kształtu badanej powierzchni podczas pomiarów profilu kształtu. Czas przydatności do użycia po zmieszaniu: 20 min., czas wiązania: 60 min. w temperaturze 25° C (nr katalogowy 40900086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Jeden zestaw zawiera 500 g gotowego produktu, czyli dwa składniki po 250 g: żółty (RepliFix-20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Yellow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) i niebieski (RepliFix-20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Blue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).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Dysze z tworzywa sztucznego służąca do mieszania statycznego silikonowych wkładów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RepliSet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50 ml (nr katalogowy 40900088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 kompatybilny z ręcznym dozownikiem ręcznym (nr </w:t>
      </w: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lastRenderedPageBreak/>
        <w:t xml:space="preserve">katalogowy 40900066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) oraz wkładami o nr katalogowym 40900068 – jeden zestaw zawierających 35 sztuk dysz.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Podkład plastikowy dla systemu replikowania o wymiarach (szerokość 26 mm x długość 76mm, grubość 1 mm), (nr katalogowy 40900062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Elastyczne płytki plastikowe, zapewniające dobre przyleganie do repliki, ułatwiają oznaczanie replik, transport, przechowywanie replik oraz poziomowanie repliki podczas badań mikroskopowych. Zestaw zawierający sztuk 50 podkładów.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Końcówka dyszy do replikowania płaskich powierzchni. (nr katalogowy 40900089wg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Końcówka w kształcie ogona ryby, 10 mm szeroka. Do montażu na dyszy mieszania statycznego do wkładów 50 ml (wg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40900088 ). Zestaw zawierający 10 sztuk końcówek.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Końcówka dyszy do replikowania małych otworów. (nr katalogowy 440900060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Końcówka w kształcie igły o średnicy 1 mm i długości 30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mm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. Do montażu na dyszy mieszania statycznego do wkładów 50 ml (wg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40900088) oraz kompatybilna z dozownikiem ręcznym (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40900066). Zestaw zawierający 10 sztuk końcówek.</w:t>
      </w:r>
    </w:p>
    <w:p w:rsidR="00B72BA6" w:rsidRPr="00B72BA6" w:rsidRDefault="00B72BA6" w:rsidP="00B72BA6">
      <w:pPr>
        <w:pStyle w:val="Akapitzlist"/>
        <w:numPr>
          <w:ilvl w:val="0"/>
          <w:numId w:val="16"/>
        </w:numPr>
        <w:spacing w:before="240" w:after="240" w:line="276" w:lineRule="auto"/>
        <w:ind w:left="426"/>
        <w:rPr>
          <w:rFonts w:asciiTheme="majorHAnsi" w:hAnsiTheme="majorHAnsi" w:cstheme="majorHAnsi"/>
          <w:b/>
          <w:sz w:val="28"/>
        </w:rPr>
      </w:pP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Końcówka dyszy do replikowania większych otworów. (nr katalogowy 40900061 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lub produkt równoważny). Końcówka w kształcie elastycznej rurki o średnicy 4 mm i długości 100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mm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. Do montażu na dyszy mieszania statycznego do wkładów 50 ml (wg </w:t>
      </w:r>
      <w:proofErr w:type="spellStart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40900088) oraz kompatybilna z dozownikiem </w:t>
      </w:r>
      <w: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ręcznym ( wg </w:t>
      </w:r>
      <w:proofErr w:type="spellStart"/>
      <w: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struers</w:t>
      </w:r>
      <w:proofErr w:type="spellEnd"/>
      <w:r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 xml:space="preserve"> 40900066). </w:t>
      </w:r>
      <w:r w:rsidRPr="00B72BA6">
        <w:rPr>
          <w:rFonts w:asciiTheme="majorHAnsi" w:hAnsiTheme="majorHAnsi" w:cstheme="majorHAnsi"/>
          <w:color w:val="272727"/>
          <w:sz w:val="22"/>
          <w:szCs w:val="18"/>
          <w:shd w:val="clear" w:color="auto" w:fill="FFFFFF"/>
        </w:rPr>
        <w:t>Zestaw zawierający 10 sztuk końcówek.</w:t>
      </w:r>
    </w:p>
    <w:sectPr w:rsidR="00B72BA6" w:rsidRPr="00B72BA6" w:rsidSect="0085125E">
      <w:headerReference w:type="default" r:id="rId7"/>
      <w:pgSz w:w="11906" w:h="16838"/>
      <w:pgMar w:top="1871" w:right="720" w:bottom="1077" w:left="720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006" w:rsidRDefault="00BA4006" w:rsidP="00F85F99">
      <w:r>
        <w:separator/>
      </w:r>
    </w:p>
  </w:endnote>
  <w:endnote w:type="continuationSeparator" w:id="0">
    <w:p w:rsidR="00BA4006" w:rsidRDefault="00BA4006" w:rsidP="00F85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006" w:rsidRDefault="00BA4006" w:rsidP="00F85F99">
      <w:r>
        <w:separator/>
      </w:r>
    </w:p>
  </w:footnote>
  <w:footnote w:type="continuationSeparator" w:id="0">
    <w:p w:rsidR="00BA4006" w:rsidRDefault="00BA4006" w:rsidP="00F85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99" w:rsidRDefault="00784AFC" w:rsidP="00F85F99">
    <w:pPr>
      <w:pStyle w:val="Nagwek"/>
      <w:jc w:val="right"/>
    </w:pPr>
    <w:r>
      <w:t>Załącznik nr 2</w:t>
    </w:r>
    <w:r w:rsidR="00F85F99">
      <w:t xml:space="preserve"> do ogłoszenia</w:t>
    </w:r>
  </w:p>
  <w:p w:rsidR="00F85F99" w:rsidRDefault="0085125E" w:rsidP="00F85F99">
    <w:pPr>
      <w:pStyle w:val="Nagwek"/>
    </w:pPr>
    <w:r>
      <w:t>NA/O/358</w:t>
    </w:r>
    <w:r w:rsidR="00F85F99">
      <w:t>/2019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07EA"/>
    <w:multiLevelType w:val="hybridMultilevel"/>
    <w:tmpl w:val="A93E2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D3AD9"/>
    <w:multiLevelType w:val="hybridMultilevel"/>
    <w:tmpl w:val="91AC045A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1A3823"/>
    <w:multiLevelType w:val="hybridMultilevel"/>
    <w:tmpl w:val="A1909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D72865"/>
    <w:multiLevelType w:val="hybridMultilevel"/>
    <w:tmpl w:val="E01C3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E97E94"/>
    <w:multiLevelType w:val="hybridMultilevel"/>
    <w:tmpl w:val="95B23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4144D"/>
    <w:multiLevelType w:val="hybridMultilevel"/>
    <w:tmpl w:val="1A827294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925EC"/>
    <w:multiLevelType w:val="hybridMultilevel"/>
    <w:tmpl w:val="487E6E46"/>
    <w:lvl w:ilvl="0" w:tplc="FB441936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2502F"/>
    <w:multiLevelType w:val="hybridMultilevel"/>
    <w:tmpl w:val="C50CD74C"/>
    <w:lvl w:ilvl="0" w:tplc="FB441936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78296E"/>
    <w:multiLevelType w:val="hybridMultilevel"/>
    <w:tmpl w:val="5D7E18D8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3630E0"/>
    <w:multiLevelType w:val="hybridMultilevel"/>
    <w:tmpl w:val="6916103C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FD539E9"/>
    <w:multiLevelType w:val="hybridMultilevel"/>
    <w:tmpl w:val="77241DC4"/>
    <w:lvl w:ilvl="0" w:tplc="3DA43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5C25E8"/>
    <w:multiLevelType w:val="hybridMultilevel"/>
    <w:tmpl w:val="1AB4F432"/>
    <w:lvl w:ilvl="0" w:tplc="ECFAB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134A5"/>
    <w:multiLevelType w:val="hybridMultilevel"/>
    <w:tmpl w:val="C61A73C6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B32A57"/>
    <w:multiLevelType w:val="hybridMultilevel"/>
    <w:tmpl w:val="07D27D16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9377EF3"/>
    <w:multiLevelType w:val="hybridMultilevel"/>
    <w:tmpl w:val="FE8001E2"/>
    <w:lvl w:ilvl="0" w:tplc="C32C0AF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071499"/>
    <w:multiLevelType w:val="hybridMultilevel"/>
    <w:tmpl w:val="C44ABD88"/>
    <w:lvl w:ilvl="0" w:tplc="C32C0A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13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1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1"/>
  </w:num>
  <w:num w:numId="15">
    <w:abstractNumId w:val="6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91CAB"/>
    <w:rsid w:val="00062D43"/>
    <w:rsid w:val="00117553"/>
    <w:rsid w:val="0013195E"/>
    <w:rsid w:val="00191CAB"/>
    <w:rsid w:val="002124A0"/>
    <w:rsid w:val="002B0D65"/>
    <w:rsid w:val="00320B8F"/>
    <w:rsid w:val="0039746C"/>
    <w:rsid w:val="00464231"/>
    <w:rsid w:val="004F41A9"/>
    <w:rsid w:val="005362F7"/>
    <w:rsid w:val="00603871"/>
    <w:rsid w:val="00784AFC"/>
    <w:rsid w:val="007D2AB4"/>
    <w:rsid w:val="007D78E1"/>
    <w:rsid w:val="0085125E"/>
    <w:rsid w:val="008E0522"/>
    <w:rsid w:val="00904406"/>
    <w:rsid w:val="009B6053"/>
    <w:rsid w:val="009F66B1"/>
    <w:rsid w:val="00AA7BF9"/>
    <w:rsid w:val="00AF2C7A"/>
    <w:rsid w:val="00B72BA6"/>
    <w:rsid w:val="00B94AC1"/>
    <w:rsid w:val="00BA4006"/>
    <w:rsid w:val="00C54943"/>
    <w:rsid w:val="00C60968"/>
    <w:rsid w:val="00C97DCD"/>
    <w:rsid w:val="00CA0A67"/>
    <w:rsid w:val="00CA2B33"/>
    <w:rsid w:val="00D25F49"/>
    <w:rsid w:val="00D533C5"/>
    <w:rsid w:val="00DF43EC"/>
    <w:rsid w:val="00E52046"/>
    <w:rsid w:val="00EA2910"/>
    <w:rsid w:val="00ED2722"/>
    <w:rsid w:val="00F04247"/>
    <w:rsid w:val="00F23C09"/>
    <w:rsid w:val="00F85F99"/>
    <w:rsid w:val="00F923BE"/>
    <w:rsid w:val="00FF6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522"/>
    <w:rPr>
      <w:lang w:val="pl-PL"/>
    </w:rPr>
  </w:style>
  <w:style w:type="paragraph" w:styleId="Nagwek3">
    <w:name w:val="heading 3"/>
    <w:basedOn w:val="Normalny"/>
    <w:link w:val="Nagwek3Znak"/>
    <w:uiPriority w:val="9"/>
    <w:qFormat/>
    <w:rsid w:val="00F85F9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TimesNewRoman12">
    <w:name w:val="Normalny Times New Roman 12"/>
    <w:basedOn w:val="Normalny"/>
    <w:next w:val="Normalny"/>
    <w:link w:val="NormalnyTimesNewRoman12Znak"/>
    <w:autoRedefine/>
    <w:qFormat/>
    <w:rsid w:val="00D25F49"/>
    <w:pPr>
      <w:autoSpaceDE w:val="0"/>
      <w:autoSpaceDN w:val="0"/>
      <w:adjustRightInd w:val="0"/>
      <w:jc w:val="both"/>
    </w:pPr>
    <w:rPr>
      <w:rFonts w:ascii="Times New Roman" w:hAnsi="Times New Roman" w:cs="Calibri"/>
      <w:noProof/>
      <w:color w:val="000000"/>
      <w:sz w:val="20"/>
      <w:lang w:val="cs-CZ" w:eastAsia="ja-JP"/>
    </w:rPr>
  </w:style>
  <w:style w:type="character" w:customStyle="1" w:styleId="NormalnyTimesNewRoman12Znak">
    <w:name w:val="Normalny Times New Roman 12 Znak"/>
    <w:link w:val="NormalnyTimesNewRoman12"/>
    <w:locked/>
    <w:rsid w:val="00D25F49"/>
    <w:rPr>
      <w:rFonts w:ascii="Times New Roman" w:hAnsi="Times New Roman" w:cs="Calibri"/>
      <w:noProof/>
      <w:color w:val="000000"/>
      <w:sz w:val="20"/>
      <w:lang w:eastAsia="ja-JP"/>
    </w:rPr>
  </w:style>
  <w:style w:type="paragraph" w:styleId="Spistreci1">
    <w:name w:val="toc 1"/>
    <w:basedOn w:val="Normalny"/>
    <w:next w:val="Normalny"/>
    <w:autoRedefine/>
    <w:uiPriority w:val="39"/>
    <w:qFormat/>
    <w:rsid w:val="00F923BE"/>
    <w:pPr>
      <w:spacing w:before="120"/>
    </w:pPr>
    <w:rPr>
      <w:rFonts w:ascii="Times New Roman" w:eastAsia="Times New Roman" w:hAnsi="Times New Roman" w:cs="Times New Roman"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91C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85F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5F99"/>
    <w:rPr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85F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85F99"/>
    <w:rPr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85F99"/>
    <w:rPr>
      <w:rFonts w:ascii="Times New Roman" w:eastAsia="Times New Roman" w:hAnsi="Times New Roman" w:cs="Times New Roman"/>
      <w:b/>
      <w:bCs/>
      <w:sz w:val="27"/>
      <w:szCs w:val="27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3C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C09"/>
    <w:rPr>
      <w:rFonts w:ascii="Tahoma" w:hAnsi="Tahoma" w:cs="Tahoma"/>
      <w:sz w:val="16"/>
      <w:szCs w:val="16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TimesNewRoman12">
    <w:name w:val="Normalny Times New Roman 12"/>
    <w:basedOn w:val="Normalny"/>
    <w:next w:val="Normalny"/>
    <w:link w:val="NormalnyTimesNewRoman12Znak"/>
    <w:autoRedefine/>
    <w:qFormat/>
    <w:rsid w:val="00D25F49"/>
    <w:pPr>
      <w:autoSpaceDE w:val="0"/>
      <w:autoSpaceDN w:val="0"/>
      <w:adjustRightInd w:val="0"/>
      <w:jc w:val="both"/>
    </w:pPr>
    <w:rPr>
      <w:rFonts w:ascii="Times New Roman" w:hAnsi="Times New Roman" w:cs="Calibri"/>
      <w:noProof/>
      <w:color w:val="000000"/>
      <w:sz w:val="20"/>
      <w:lang w:val="cs-CZ" w:eastAsia="ja-JP"/>
    </w:rPr>
  </w:style>
  <w:style w:type="character" w:customStyle="1" w:styleId="NormalnyTimesNewRoman12Znak">
    <w:name w:val="Normalny Times New Roman 12 Znak"/>
    <w:link w:val="NormalnyTimesNewRoman12"/>
    <w:locked/>
    <w:rsid w:val="00D25F49"/>
    <w:rPr>
      <w:rFonts w:ascii="Times New Roman" w:hAnsi="Times New Roman" w:cs="Calibri"/>
      <w:noProof/>
      <w:color w:val="000000"/>
      <w:sz w:val="20"/>
      <w:lang w:eastAsia="ja-JP"/>
    </w:rPr>
  </w:style>
  <w:style w:type="paragraph" w:styleId="Spistreci1">
    <w:name w:val="toc 1"/>
    <w:basedOn w:val="Normalny"/>
    <w:next w:val="Normalny"/>
    <w:autoRedefine/>
    <w:uiPriority w:val="39"/>
    <w:qFormat/>
    <w:rsid w:val="00F923BE"/>
    <w:pPr>
      <w:spacing w:before="120"/>
    </w:pPr>
    <w:rPr>
      <w:rFonts w:ascii="Times New Roman" w:eastAsia="Times New Roman" w:hAnsi="Times New Roman" w:cs="Times New Roman"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91C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1541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Rzeszowska</Company>
  <LinksUpToDate>false</LinksUpToDate>
  <CharactersWithSpaces>10769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Goral</dc:creator>
  <cp:lastModifiedBy>magdap</cp:lastModifiedBy>
  <cp:revision>5</cp:revision>
  <dcterms:created xsi:type="dcterms:W3CDTF">2019-11-06T11:30:00Z</dcterms:created>
  <dcterms:modified xsi:type="dcterms:W3CDTF">2019-11-07T11:36:00Z</dcterms:modified>
</cp:coreProperties>
</file>