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D" w:rsidRPr="002855E4" w:rsidRDefault="00F1373D" w:rsidP="00864B78">
      <w:pPr>
        <w:shd w:val="clear" w:color="auto" w:fill="FFFFFF"/>
        <w:jc w:val="right"/>
        <w:rPr>
          <w:b/>
        </w:rPr>
      </w:pPr>
      <w:r w:rsidRPr="002855E4">
        <w:rPr>
          <w:b/>
        </w:rPr>
        <w:t>Złącznik nr 1</w:t>
      </w:r>
      <w:r>
        <w:rPr>
          <w:b/>
        </w:rPr>
        <w:t>.3</w:t>
      </w:r>
    </w:p>
    <w:p w:rsidR="00F1373D" w:rsidRDefault="00F1373D" w:rsidP="00864B78">
      <w:pPr>
        <w:shd w:val="clear" w:color="auto" w:fill="FFFFFF"/>
      </w:pPr>
      <w:r>
        <w:t>Zadanie nr 3</w:t>
      </w:r>
      <w:bookmarkStart w:id="0" w:name="_GoBack"/>
      <w:bookmarkEnd w:id="0"/>
    </w:p>
    <w:p w:rsidR="00F1373D" w:rsidRDefault="00F1373D" w:rsidP="00864B78">
      <w:pPr>
        <w:shd w:val="clear" w:color="auto" w:fill="FFFFFF"/>
        <w:jc w:val="center"/>
      </w:pPr>
      <w:r>
        <w:t>Szczegółowy opis przedmiotu zamówienia</w:t>
      </w:r>
    </w:p>
    <w:p w:rsidR="00F1373D" w:rsidRDefault="00F1373D" w:rsidP="00864B78">
      <w:pPr>
        <w:shd w:val="clear" w:color="auto" w:fill="FFFFFF"/>
      </w:pPr>
    </w:p>
    <w:p w:rsidR="00F1373D" w:rsidRDefault="00F1373D" w:rsidP="00864B78">
      <w:pPr>
        <w:shd w:val="clear" w:color="auto" w:fill="FFFFFF"/>
      </w:pPr>
      <w:r>
        <w:t>Przedmiot przetargu</w:t>
      </w:r>
      <w:r w:rsidRPr="00656A92">
        <w:rPr>
          <w:sz w:val="28"/>
          <w:szCs w:val="28"/>
        </w:rPr>
        <w:t xml:space="preserve">:  </w:t>
      </w:r>
      <w:r w:rsidRPr="009038B3">
        <w:rPr>
          <w:bCs/>
          <w:sz w:val="28"/>
          <w:szCs w:val="28"/>
        </w:rPr>
        <w:t>Stymulator – 4 sztuki</w:t>
      </w:r>
    </w:p>
    <w:p w:rsidR="00F1373D" w:rsidRPr="00AB39C8" w:rsidRDefault="00F1373D" w:rsidP="00393687">
      <w:pPr>
        <w:rPr>
          <w:rFonts w:cs="Calibri"/>
        </w:rPr>
      </w:pPr>
      <w:r>
        <w:rPr>
          <w:b/>
          <w:u w:val="single"/>
        </w:rPr>
        <w:t>UWAGA:</w:t>
      </w:r>
      <w:r>
        <w:rPr>
          <w:b/>
        </w:rPr>
        <w:t xml:space="preserve"> Oferent wypełniając rubrykę „TAK/NIE/Oferowane parametry” powinien wpisywać w nie słowa „tak” lub „nie” oraz  podawać rzeczywiste wartości liczbowe bądź opis funkcjonalności poszczególnych parametrów technicznych</w:t>
      </w:r>
    </w:p>
    <w:tbl>
      <w:tblPr>
        <w:tblW w:w="9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386"/>
        <w:gridCol w:w="1559"/>
        <w:gridCol w:w="2411"/>
      </w:tblGrid>
      <w:tr w:rsidR="00F1373D" w:rsidRPr="004B2576" w:rsidTr="00393687">
        <w:trPr>
          <w:trHeight w:val="1472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F1373D" w:rsidRPr="004B2576" w:rsidRDefault="00F1373D" w:rsidP="00393687">
            <w:pPr>
              <w:jc w:val="center"/>
              <w:rPr>
                <w:rFonts w:cs="Calibri"/>
                <w:lang w:eastAsia="ar-SA"/>
              </w:rPr>
            </w:pPr>
            <w:bookmarkStart w:id="1" w:name="_Hlk531000430"/>
            <w:r w:rsidRPr="004B2576">
              <w:rPr>
                <w:rFonts w:cs="Calibri"/>
                <w:lang w:eastAsia="ar-SA"/>
              </w:rPr>
              <w:t>LP.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F1373D" w:rsidRDefault="00F1373D" w:rsidP="009B4197">
            <w:pPr>
              <w:shd w:val="clear" w:color="auto" w:fill="FFFFFF"/>
              <w:jc w:val="center"/>
            </w:pPr>
            <w:r>
              <w:t>Szczegółowy opis przedmiotu zamówienia</w:t>
            </w:r>
          </w:p>
          <w:p w:rsidR="00F1373D" w:rsidRPr="004B2576" w:rsidRDefault="00F1373D" w:rsidP="00393687">
            <w:p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F1373D" w:rsidRPr="004B2576" w:rsidRDefault="00F1373D" w:rsidP="00393687">
            <w:pPr>
              <w:jc w:val="center"/>
              <w:rPr>
                <w:rFonts w:eastAsia="SimSun" w:cs="Calibri"/>
                <w:lang w:eastAsia="ar-SA"/>
              </w:rPr>
            </w:pPr>
            <w:r w:rsidRPr="004B2576">
              <w:rPr>
                <w:rFonts w:eastAsia="Malgun Gothic" w:cs="Calibri"/>
                <w:lang w:eastAsia="ar-SA"/>
              </w:rPr>
              <w:t>PARAMETR GRANICZNY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1373D" w:rsidRPr="004B2576" w:rsidRDefault="00F1373D" w:rsidP="00393687">
            <w:pPr>
              <w:jc w:val="center"/>
              <w:rPr>
                <w:rFonts w:eastAsia="SimSun" w:cs="Calibri"/>
                <w:lang w:eastAsia="ar-SA"/>
              </w:rPr>
            </w:pPr>
            <w:r w:rsidRPr="004B2576">
              <w:rPr>
                <w:rFonts w:eastAsia="SimSun" w:cs="Calibri"/>
                <w:lang w:eastAsia="ar-SA"/>
              </w:rPr>
              <w:t>PARAMETR OFEROWANY</w:t>
            </w:r>
          </w:p>
          <w:p w:rsidR="00F1373D" w:rsidRPr="004B2576" w:rsidRDefault="00F1373D" w:rsidP="00393687">
            <w:pPr>
              <w:jc w:val="center"/>
              <w:rPr>
                <w:rFonts w:eastAsia="SimSun" w:cs="Calibri"/>
                <w:lang w:eastAsia="ar-SA"/>
              </w:rPr>
            </w:pPr>
            <w:r w:rsidRPr="004B2576">
              <w:rPr>
                <w:rFonts w:eastAsia="SimSun" w:cs="Calibri"/>
                <w:lang w:eastAsia="ar-SA"/>
              </w:rPr>
              <w:t>Zaznaczyć TAK/NIE lub wpisać określony parametr</w:t>
            </w:r>
          </w:p>
          <w:p w:rsidR="00F1373D" w:rsidRPr="004B2576" w:rsidRDefault="00F1373D" w:rsidP="00393687">
            <w:pPr>
              <w:jc w:val="center"/>
              <w:rPr>
                <w:rFonts w:eastAsia="SimSun" w:cs="Calibri"/>
                <w:lang w:eastAsia="ar-SA"/>
              </w:rPr>
            </w:pPr>
            <w:r w:rsidRPr="004B2576">
              <w:rPr>
                <w:rFonts w:eastAsia="SimSun" w:cs="Calibri"/>
                <w:lang w:eastAsia="ar-SA"/>
              </w:rPr>
              <w:t>(wypełnia wykonawca)</w:t>
            </w:r>
          </w:p>
        </w:tc>
      </w:tr>
      <w:tr w:rsidR="00F1373D" w:rsidRPr="004B2576" w:rsidTr="00864B78">
        <w:trPr>
          <w:trHeight w:val="544"/>
          <w:jc w:val="center"/>
        </w:trPr>
        <w:tc>
          <w:tcPr>
            <w:tcW w:w="9922" w:type="dxa"/>
            <w:gridSpan w:val="4"/>
            <w:vAlign w:val="center"/>
          </w:tcPr>
          <w:p w:rsidR="00F1373D" w:rsidRPr="004B2576" w:rsidRDefault="00F1373D" w:rsidP="00864B78">
            <w:pPr>
              <w:jc w:val="center"/>
              <w:rPr>
                <w:rFonts w:eastAsia="SimSun" w:cs="Calibri"/>
                <w:lang w:eastAsia="ar-SA"/>
              </w:rPr>
            </w:pPr>
            <w:r w:rsidRPr="004B2576">
              <w:rPr>
                <w:rFonts w:eastAsia="SimSun" w:cs="Calibri"/>
                <w:lang w:eastAsia="ar-SA"/>
              </w:rPr>
              <w:t>Warunki ogólne i serwisowe</w:t>
            </w:r>
          </w:p>
        </w:tc>
      </w:tr>
      <w:bookmarkEnd w:id="1"/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7346D6">
            <w:r w:rsidRPr="004B2576">
              <w:rPr>
                <w:spacing w:val="-3"/>
              </w:rPr>
              <w:t>Oferowane urządzenia powinny być</w:t>
            </w:r>
            <w:r w:rsidRPr="004B2576">
              <w:t xml:space="preserve"> fabrycznie nowe (sprzęt nie używany, nie rekondycjonowany, nie powystawowy, wszystkie elementy składowe i podzespoły fabrycznie nowe) wyprodukowane w roku 2019/2020. 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 xml:space="preserve">Dostarczony sprzęt powinien być bezwzględnie wyposażony we wszystkie niezbędne do prawidłowej pracy akcesoria, instrukcję obsługi w języku polskim i w języku angielskim w formie papierowej i elektronicznej, dokumentację serwisową w języku polskim lub angielskim w formie papierowej i elektronicznej. 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>Od wykonawcy wymaga się:</w:t>
            </w:r>
          </w:p>
          <w:p w:rsidR="00F1373D" w:rsidRPr="004B2576" w:rsidRDefault="00F1373D" w:rsidP="00A30E25">
            <w:r w:rsidRPr="004B2576">
              <w:t xml:space="preserve">- przeszkolenia personelu medycznego w </w:t>
            </w:r>
            <w:r w:rsidRPr="004B2576">
              <w:br/>
              <w:t xml:space="preserve">  zakresie obsługi dostarczonego sprzętu i </w:t>
            </w:r>
            <w:r w:rsidRPr="004B2576">
              <w:br/>
              <w:t xml:space="preserve">  przeszkolenia personelu technicznego w </w:t>
            </w:r>
            <w:r w:rsidRPr="004B2576">
              <w:br/>
              <w:t xml:space="preserve">  zakresie obsługi technicznej (czynności </w:t>
            </w:r>
            <w:r w:rsidRPr="004B2576">
              <w:br/>
              <w:t xml:space="preserve">  diagnostycznych, okresowych konserwacji </w:t>
            </w:r>
            <w:r w:rsidRPr="004B2576">
              <w:br/>
              <w:t xml:space="preserve">  oraz usuwania prostych usterek </w:t>
            </w:r>
            <w:r w:rsidRPr="004B2576">
              <w:br/>
              <w:t xml:space="preserve">  technicznych)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snapToGrid w:val="0"/>
              <w:jc w:val="center"/>
            </w:pPr>
          </w:p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  <w:p w:rsidR="00F1373D" w:rsidRPr="004B2576" w:rsidRDefault="00F1373D" w:rsidP="00A30E25">
            <w:pPr>
              <w:jc w:val="center"/>
            </w:pPr>
          </w:p>
          <w:p w:rsidR="00F1373D" w:rsidRPr="004B2576" w:rsidRDefault="00F1373D" w:rsidP="00A30E25">
            <w:pPr>
              <w:jc w:val="center"/>
            </w:pP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>Wykonawca powinien zapewnić co najmniej 24 miesięczną i maksymalnie 72 miesięczną gwarancję prawidłowego działania oferowanego sprzętu medycznego.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>Okres zagwarantowania dostępności i możliwości zakupu części zamiennych oraz wyposażenia eksploatacyjnego powinien wynosić minimum 10 lat od daty sprzedaży urządzenia .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>W przypadku stwierdzenia - w czasie okresu gwarancji - braków w dokumentacji serwisowej firma zobowiązuje się do jej uzupełnienia.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>W okresie trwania gwarancji w przypadku awarii aparatury trwającej dłuższej niż 2 dni wykonawca zobowiązany jest do przedłużenia okresu gwarancji o czas trwania awarii, a w przypadku awarii trwającej dłużej niż 7 dni oferent zobowiązuje się w okresie gwarancji do wstawienia urządzenia zastępczego odpowiadającego parametrami oferowanemu urządzeniu.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 xml:space="preserve">Maksymalny czas diagnostyki w okresie gwarancji  </w:t>
            </w:r>
            <w:r w:rsidRPr="004B2576">
              <w:br/>
              <w:t>- pojawienie się pracownika serwisu w miejscu awarii</w:t>
            </w:r>
            <w:r w:rsidRPr="004B2576">
              <w:rPr>
                <w:strike/>
              </w:rPr>
              <w:t xml:space="preserve"> </w:t>
            </w:r>
            <w:r w:rsidRPr="004B2576">
              <w:t>maksimum 24 godziny</w:t>
            </w:r>
            <w:r w:rsidRPr="004B2576">
              <w:rPr>
                <w:strike/>
              </w:rPr>
              <w:t xml:space="preserve"> </w:t>
            </w:r>
            <w:r w:rsidRPr="004B2576">
              <w:t xml:space="preserve">w dni robocze  </w:t>
            </w:r>
            <w:r w:rsidRPr="004B2576">
              <w:br/>
              <w:t xml:space="preserve">- diagnostyka w serwisie z przesłaniem ekspertyzy i wyceny naprawy maksimum 48 godzin w dni robocze od chwili zgłoszenia awarii. 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>Czas skutecznej naprawy niewymagającej importu części – maksimum 4 dni robocze wraz z diagnostyką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>Czas skutecznej naprawy wymagającej importu części – maksimum 7 dni roboczych razem z diagnostyką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</w:tcPr>
          <w:p w:rsidR="00F1373D" w:rsidRPr="004B2576" w:rsidRDefault="00F1373D" w:rsidP="00A30E25">
            <w:r w:rsidRPr="004B2576">
              <w:t xml:space="preserve">W okresie gwarancji w ramach ceny oferent zobowiązany jest do przeprowadzenia przeglądów technicznych zgodnie z zaleceniami producenta i testów bezpieczeństwa oferowanej aparatury. </w:t>
            </w:r>
          </w:p>
        </w:tc>
        <w:tc>
          <w:tcPr>
            <w:tcW w:w="1559" w:type="dxa"/>
          </w:tcPr>
          <w:p w:rsidR="00F1373D" w:rsidRPr="004B2576" w:rsidRDefault="00F1373D" w:rsidP="00A30E25">
            <w:pPr>
              <w:jc w:val="center"/>
            </w:pPr>
            <w:r w:rsidRPr="004B2576"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711"/>
          <w:jc w:val="center"/>
        </w:trPr>
        <w:tc>
          <w:tcPr>
            <w:tcW w:w="9922" w:type="dxa"/>
            <w:gridSpan w:val="4"/>
            <w:vAlign w:val="center"/>
          </w:tcPr>
          <w:p w:rsidR="00F1373D" w:rsidRPr="004B2576" w:rsidRDefault="00F1373D" w:rsidP="007346D6">
            <w:pPr>
              <w:jc w:val="center"/>
              <w:rPr>
                <w:rFonts w:eastAsia="SimSun" w:cs="Calibri"/>
                <w:lang w:eastAsia="ar-SA"/>
              </w:rPr>
            </w:pPr>
            <w:r w:rsidRPr="004B2576">
              <w:rPr>
                <w:rFonts w:eastAsia="SimSun" w:cs="Calibri"/>
                <w:lang w:eastAsia="ar-SA"/>
              </w:rPr>
              <w:t>Warunki techniczne i funkcjonalne</w:t>
            </w:r>
          </w:p>
        </w:tc>
      </w:tr>
      <w:tr w:rsidR="00F1373D" w:rsidRPr="004B2576" w:rsidTr="007346D6">
        <w:trPr>
          <w:trHeight w:val="544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  <w:vAlign w:val="center"/>
          </w:tcPr>
          <w:p w:rsidR="00F1373D" w:rsidRPr="004B2576" w:rsidRDefault="00F1373D" w:rsidP="00AB39C8">
            <w:pPr>
              <w:ind w:right="144"/>
              <w:rPr>
                <w:rFonts w:cs="Calibri"/>
              </w:rPr>
            </w:pPr>
            <w:r w:rsidRPr="004B2576">
              <w:rPr>
                <w:rFonts w:cs="Calibri"/>
              </w:rPr>
              <w:t>Stymulator jednojamowy – zestaw:</w:t>
            </w:r>
          </w:p>
          <w:p w:rsidR="00F1373D" w:rsidRPr="004B2576" w:rsidRDefault="00F1373D" w:rsidP="00AB39C8">
            <w:pPr>
              <w:ind w:right="144"/>
              <w:rPr>
                <w:rFonts w:cs="Calibri"/>
              </w:rPr>
            </w:pPr>
            <w:r w:rsidRPr="004B2576">
              <w:rPr>
                <w:rFonts w:cs="Calibri"/>
              </w:rPr>
              <w:t>Stymulator jednojamowy, pasek do mocowania stymulatora, zewnętrzny kabel łączący stymulator z elektroda nasierdziową lub elektrodą czasową przez-żylną- kompatybilny z wszystkimi dostępnymi stymulatorami i elektrodami, walizka transportowa</w:t>
            </w:r>
          </w:p>
        </w:tc>
        <w:tc>
          <w:tcPr>
            <w:tcW w:w="1559" w:type="dxa"/>
            <w:vAlign w:val="center"/>
          </w:tcPr>
          <w:p w:rsidR="00F1373D" w:rsidRPr="004B2576" w:rsidRDefault="00F1373D" w:rsidP="00AB39C8">
            <w:pPr>
              <w:spacing w:before="120" w:after="120"/>
              <w:ind w:right="144"/>
              <w:jc w:val="center"/>
              <w:rPr>
                <w:rFonts w:cs="Calibri"/>
              </w:rPr>
            </w:pPr>
            <w:r w:rsidRPr="004B2576">
              <w:rPr>
                <w:rFonts w:cs="Calibri"/>
              </w:rPr>
              <w:t>TAK</w:t>
            </w:r>
          </w:p>
        </w:tc>
        <w:tc>
          <w:tcPr>
            <w:tcW w:w="2411" w:type="dxa"/>
            <w:vAlign w:val="center"/>
          </w:tcPr>
          <w:p w:rsidR="00F1373D" w:rsidRPr="004B2576" w:rsidRDefault="00F1373D" w:rsidP="00AB39C8">
            <w:pPr>
              <w:rPr>
                <w:rFonts w:eastAsia="SimSun" w:cs="Calibri"/>
                <w:lang w:eastAsia="ar-SA"/>
              </w:rPr>
            </w:pPr>
          </w:p>
        </w:tc>
      </w:tr>
      <w:tr w:rsidR="00F1373D" w:rsidRPr="004B2576" w:rsidTr="007346D6">
        <w:trPr>
          <w:trHeight w:val="425"/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Tryby:</w:t>
            </w:r>
            <w:r w:rsidRPr="004B2576">
              <w:rPr>
                <w:rFonts w:cs="Calibri"/>
              </w:rPr>
              <w:tab/>
              <w:t>A00, AAI, V00, VVI, sygnały akustyczne można włączyć lub wyłączyć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jc w:val="center"/>
              <w:rPr>
                <w:rFonts w:cs="Calibri"/>
              </w:rPr>
            </w:pPr>
            <w:r w:rsidRPr="004B2576">
              <w:rPr>
                <w:rFonts w:cs="Calibri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rPr>
                <w:rFonts w:cs="Calibri"/>
                <w:b/>
              </w:rPr>
            </w:pPr>
          </w:p>
        </w:tc>
      </w:tr>
      <w:tr w:rsidR="00F1373D" w:rsidRPr="004B2576" w:rsidTr="007346D6">
        <w:trPr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Częstość stymulacji: Regulowana od 30, 60,120 ppm do 180, 360, 720 ppm, stymulacja z wysoką częstością asynchroniczna, częstość x2, x4, z sygnałami akustycznymi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jc w:val="center"/>
              <w:rPr>
                <w:rFonts w:cs="Calibri"/>
              </w:rPr>
            </w:pPr>
            <w:r w:rsidRPr="004B2576">
              <w:rPr>
                <w:rFonts w:cs="Calibri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rPr>
                <w:rFonts w:cs="Calibri"/>
                <w:b/>
              </w:rPr>
            </w:pPr>
          </w:p>
        </w:tc>
      </w:tr>
      <w:tr w:rsidR="00F1373D" w:rsidRPr="004B2576" w:rsidTr="007346D6">
        <w:trPr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  <w:bookmarkStart w:id="2" w:name="_Hlk53099549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Czułość na załamki P-/R. Regulowana od 1 mV do 20 mV,  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jc w:val="center"/>
              <w:rPr>
                <w:rFonts w:cs="Calibri"/>
              </w:rPr>
            </w:pPr>
            <w:r w:rsidRPr="004B2576">
              <w:rPr>
                <w:rFonts w:cs="Calibri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rPr>
                <w:rFonts w:cs="Calibri"/>
                <w:b/>
              </w:rPr>
            </w:pPr>
          </w:p>
        </w:tc>
      </w:tr>
      <w:tr w:rsidR="00F1373D" w:rsidRPr="004B2576" w:rsidTr="007346D6">
        <w:trPr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Opór wejściowy: 24 kΩ ± 10 %</w:t>
            </w:r>
          </w:p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Opór wyjściowy: &lt; 25Ω</w:t>
            </w:r>
          </w:p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dla oporu ładunku &gt; 150Ω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jc w:val="center"/>
              <w:rPr>
                <w:rFonts w:cs="Calibri"/>
              </w:rPr>
            </w:pPr>
            <w:r w:rsidRPr="004B2576">
              <w:rPr>
                <w:rFonts w:cs="Calibri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rPr>
                <w:rFonts w:cs="Calibri"/>
                <w:b/>
              </w:rPr>
            </w:pPr>
          </w:p>
        </w:tc>
      </w:tr>
      <w:tr w:rsidR="00F1373D" w:rsidRPr="004B2576" w:rsidTr="007346D6">
        <w:trPr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Impuls wyjściowy: Polarność: katodowa, sprzężona pojemnościowo</w:t>
            </w:r>
          </w:p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Kształt:  dwufazowy, asymetryczny</w:t>
            </w:r>
          </w:p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Czas trwania: 0,75 ms ± 0,05 ms</w:t>
            </w:r>
          </w:p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Amplituda impulsu wyjściowego: Zmienna 0,3 V - 12 V</w:t>
            </w:r>
          </w:p>
          <w:p w:rsidR="00F1373D" w:rsidRPr="004B2576" w:rsidRDefault="00F1373D" w:rsidP="00AB39C8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jc w:val="center"/>
              <w:rPr>
                <w:rFonts w:cs="Calibri"/>
              </w:rPr>
            </w:pPr>
            <w:r w:rsidRPr="004B2576">
              <w:rPr>
                <w:rFonts w:cs="Calibri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rPr>
                <w:rFonts w:cs="Calibri"/>
                <w:b/>
              </w:rPr>
            </w:pPr>
          </w:p>
        </w:tc>
      </w:tr>
      <w:tr w:rsidR="00F1373D" w:rsidRPr="004B2576" w:rsidTr="007346D6">
        <w:trPr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Stymulator posiada dodatkowe zabezpieczenie  w przypadku dostarczania stymulacji o zbyt wysokiej częstości – ograniczenie emisji impulsów do maks. poziomu 200 ppm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jc w:val="center"/>
              <w:rPr>
                <w:rFonts w:cs="Calibri"/>
              </w:rPr>
            </w:pPr>
            <w:r w:rsidRPr="004B2576">
              <w:rPr>
                <w:rFonts w:cs="Calibri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rPr>
                <w:rFonts w:cs="Calibri"/>
                <w:b/>
              </w:rPr>
            </w:pPr>
          </w:p>
        </w:tc>
      </w:tr>
      <w:tr w:rsidR="00F1373D" w:rsidRPr="004B2576" w:rsidTr="007346D6">
        <w:trPr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 xml:space="preserve">Złącza stymulatora: w osłonach o średnicy od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4B2576">
                <w:rPr>
                  <w:rFonts w:cs="Calibri"/>
                </w:rPr>
                <w:t>0,9 mm</w:t>
              </w:r>
            </w:smartTag>
            <w:r w:rsidRPr="004B2576">
              <w:rPr>
                <w:rFonts w:cs="Calibri"/>
              </w:rPr>
              <w:t xml:space="preserve"> do maksymalnie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4B2576">
                <w:rPr>
                  <w:rFonts w:cs="Calibri"/>
                </w:rPr>
                <w:t>2,0 mm</w:t>
              </w:r>
            </w:smartTag>
            <w:r w:rsidRPr="004B2576">
              <w:rPr>
                <w:rFonts w:cs="Calibri"/>
              </w:rPr>
              <w:t xml:space="preserve"> kompatybilne z systemem Confix- fiksacja elektrod nasierdziowych.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jc w:val="center"/>
              <w:rPr>
                <w:rFonts w:cs="Calibri"/>
              </w:rPr>
            </w:pPr>
            <w:r w:rsidRPr="004B2576">
              <w:rPr>
                <w:rFonts w:cs="Calibri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rPr>
                <w:rFonts w:cs="Calibri"/>
                <w:b/>
              </w:rPr>
            </w:pPr>
          </w:p>
        </w:tc>
      </w:tr>
      <w:tr w:rsidR="00F1373D" w:rsidRPr="004B2576" w:rsidTr="007346D6">
        <w:trPr>
          <w:jc w:val="center"/>
        </w:trPr>
        <w:tc>
          <w:tcPr>
            <w:tcW w:w="566" w:type="dxa"/>
            <w:vAlign w:val="center"/>
          </w:tcPr>
          <w:p w:rsidR="00F1373D" w:rsidRPr="004B2576" w:rsidRDefault="00F1373D" w:rsidP="007346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SimSun" w:cs="Calibri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3D" w:rsidRPr="004B2576" w:rsidRDefault="00F1373D" w:rsidP="00AB39C8">
            <w:pPr>
              <w:rPr>
                <w:rFonts w:cs="Calibri"/>
              </w:rPr>
            </w:pPr>
            <w:r w:rsidRPr="004B2576">
              <w:rPr>
                <w:rFonts w:cs="Calibri"/>
              </w:rPr>
              <w:t>Automatyczne monitorowanie napięcia baterii – wizualne i akustyczne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jc w:val="center"/>
              <w:rPr>
                <w:rFonts w:cs="Calibri"/>
              </w:rPr>
            </w:pPr>
            <w:r w:rsidRPr="004B2576">
              <w:rPr>
                <w:rFonts w:cs="Calibri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D" w:rsidRPr="004B2576" w:rsidRDefault="00F1373D" w:rsidP="00AB39C8">
            <w:pPr>
              <w:rPr>
                <w:rFonts w:cs="Calibri"/>
                <w:b/>
              </w:rPr>
            </w:pPr>
          </w:p>
        </w:tc>
      </w:tr>
      <w:bookmarkEnd w:id="2"/>
    </w:tbl>
    <w:p w:rsidR="00F1373D" w:rsidRDefault="00F1373D" w:rsidP="000552D6"/>
    <w:p w:rsidR="00F1373D" w:rsidRPr="00AB39C8" w:rsidRDefault="00F1373D" w:rsidP="00393687">
      <w:pPr>
        <w:rPr>
          <w:rFonts w:cs="Calibri"/>
        </w:rPr>
      </w:pPr>
    </w:p>
    <w:sectPr w:rsidR="00F1373D" w:rsidRPr="00AB39C8" w:rsidSect="00CE242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2804634A"/>
    <w:multiLevelType w:val="hybridMultilevel"/>
    <w:tmpl w:val="AF3AF5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8522E5"/>
    <w:multiLevelType w:val="hybridMultilevel"/>
    <w:tmpl w:val="E36AD4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DAD16CD"/>
    <w:multiLevelType w:val="hybridMultilevel"/>
    <w:tmpl w:val="DFA2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F"/>
    <w:rsid w:val="00007AE8"/>
    <w:rsid w:val="000552D6"/>
    <w:rsid w:val="002855E4"/>
    <w:rsid w:val="00294642"/>
    <w:rsid w:val="00393687"/>
    <w:rsid w:val="00394BE5"/>
    <w:rsid w:val="003A5939"/>
    <w:rsid w:val="004B2576"/>
    <w:rsid w:val="005D7C26"/>
    <w:rsid w:val="00656A92"/>
    <w:rsid w:val="00672363"/>
    <w:rsid w:val="0067719D"/>
    <w:rsid w:val="00686BDF"/>
    <w:rsid w:val="006F2046"/>
    <w:rsid w:val="007346D6"/>
    <w:rsid w:val="007D266D"/>
    <w:rsid w:val="00864B78"/>
    <w:rsid w:val="00892000"/>
    <w:rsid w:val="008D7BC4"/>
    <w:rsid w:val="009038B3"/>
    <w:rsid w:val="009B4197"/>
    <w:rsid w:val="00A14FAE"/>
    <w:rsid w:val="00A20A24"/>
    <w:rsid w:val="00A30E25"/>
    <w:rsid w:val="00A45F4A"/>
    <w:rsid w:val="00A6514F"/>
    <w:rsid w:val="00A71A92"/>
    <w:rsid w:val="00A812A6"/>
    <w:rsid w:val="00AB39C8"/>
    <w:rsid w:val="00AB56A4"/>
    <w:rsid w:val="00B66D55"/>
    <w:rsid w:val="00B73751"/>
    <w:rsid w:val="00B824E8"/>
    <w:rsid w:val="00C807ED"/>
    <w:rsid w:val="00CE2424"/>
    <w:rsid w:val="00D72779"/>
    <w:rsid w:val="00DD49C4"/>
    <w:rsid w:val="00E6295B"/>
    <w:rsid w:val="00E70203"/>
    <w:rsid w:val="00F1373D"/>
    <w:rsid w:val="00F74FAD"/>
    <w:rsid w:val="00FC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6D55"/>
    <w:rPr>
      <w:lang w:eastAsia="en-US"/>
    </w:rPr>
  </w:style>
  <w:style w:type="paragraph" w:customStyle="1" w:styleId="Akapitzlist1">
    <w:name w:val="Akapit z listą1"/>
    <w:basedOn w:val="Normal"/>
    <w:uiPriority w:val="99"/>
    <w:rsid w:val="00892000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styleId="ListParagraph">
    <w:name w:val="List Paragraph"/>
    <w:basedOn w:val="Normal"/>
    <w:uiPriority w:val="99"/>
    <w:qFormat/>
    <w:rsid w:val="00734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588</Words>
  <Characters>3529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nr 1</dc:title>
  <dc:subject/>
  <dc:creator>Tomek</dc:creator>
  <cp:keywords/>
  <dc:description/>
  <cp:lastModifiedBy>Łukasz</cp:lastModifiedBy>
  <cp:revision>2</cp:revision>
  <cp:lastPrinted>2020-03-10T13:05:00Z</cp:lastPrinted>
  <dcterms:created xsi:type="dcterms:W3CDTF">2020-03-19T08:47:00Z</dcterms:created>
  <dcterms:modified xsi:type="dcterms:W3CDTF">2020-03-19T08:47:00Z</dcterms:modified>
</cp:coreProperties>
</file>