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bookmarkStart w:id="0" w:name="_GoBack"/>
      <w:bookmarkEnd w:id="0"/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Część 1 </w:t>
      </w: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 xml:space="preserve">1.Jednostka centralna o poniższych parametrach  - 1 szt.  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Procesor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osiągający w teście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wynik min. 13300  punktów (wynik zaproponowanego procesora musi znajdować się na stronie: </w:t>
      </w:r>
      <w:hyperlink r:id="rId4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www.cpubenchmark.net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 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pojemność dysku SSD min 512 GB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Wielkość pamięci RAM min 32 GB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graficzna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osiągająca min.  16500 punktów w teście 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  (wynik zaproponowanej karty musi znajdować się na stronie:   </w:t>
      </w:r>
      <w:hyperlink r:id="rId5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https://www.videocardbenchmark.net/gpu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Pamięć karty graficznej: min 8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Płyta główna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: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Typ obsługiwanej pamięci DDR4-2933 MHz DDR4-2666 MHz DDR4-2400 MHz DDR4-2133 MHz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Typ obsługiwanej pamięci OC DDR4-3600 MHz DDR4-3466 MHz DDR4-3200 MHz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Liczba banków pamięci 4 x DIMM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wielkość pamięci RAM 128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Architektura pamięci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Dual-channel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Wewnętrzne złącza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SATA III (6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Gb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/s) - 6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M.2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NVMe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3.0 x4 / SATA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M.2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NVMe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3.0 x2 - 1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3.0 x16 - 1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3.0 x1 - 2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3.0 x16 (tryb x4)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USB 3.2 Gen. 1 - 1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USB 2.0 - 2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ARGB 3 pin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RGB 4 pin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COM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Front Panel Audio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wyjścia S/PDIF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lastRenderedPageBreak/>
        <w:t>Złącze wentylatora CPU 4 pin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wentylatora SYS/CHA - 3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zasilania 8 pin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zasilania 24 pin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modułu TPM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Zewnętrzne złącza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DVI-D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HDMI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RJ45 (LAN) 1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Gbps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- 1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3.2 Gen. 1 - 4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USB 2.0 - 4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PS/2 klawiatura/mysz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Audio jack - 6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Obsługa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RAID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RAID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0 RAID 1 RAID 10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Obsługa wielu kart graficznych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Obsługa układów graficznych w procesorach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Układ audio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Podświetlenie LED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Cs/>
          <w:sz w:val="18"/>
          <w:szCs w:val="18"/>
          <w:lang w:eastAsia="pl-PL"/>
        </w:rPr>
        <w:t>Zasilacz, obudowa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 xml:space="preserve">2.Jednostka centralna o poniższych parametrach  - 1 szt.   </w:t>
      </w: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Procesor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osiągający w teście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wynik min. 22000  punktów (wynik zaproponowanego procesora musi znajdować się na stronie: </w:t>
      </w:r>
      <w:hyperlink r:id="rId6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www.cpubenchmark.net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 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pojemność dysku SSD min 1 TB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Wielkość pamięci RAM min 32 GB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graficzna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osiągająca min.  19500 punktów w teście 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  (wynik zaproponowanej karty musi znajdować się na stronie:   </w:t>
      </w:r>
      <w:hyperlink r:id="rId7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https://www.videocardbenchmark.net/gpu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Pamięć karty graficznej: min 8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Płyta główna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: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Architektura procesora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lastRenderedPageBreak/>
        <w:t>Zen 2 (3 generacja) Zen 3 (4 generacja)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Typ obsługiwanej pamięci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DDR4-3200 MHz DDR4-2933 MHz DDR4-2666 MHz DDR4-2400 MHz DDR4-2133 MHz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Typ obsługiwanej pamięci OC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DDR4-5400 MHz DDR4-5200 MHz DDR4-5000 MHz DDR4-4866 MHz DDR4-4600 MHz DDR4-4400 MHz DDR4-4000 MHz DDR4-3600 MHz DDR4-3333 MHz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Liczba banków pamięci 4 x DIMM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wielkość pamięci RAM 128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Architektura pamięci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Dual-channel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Wewnętrzne złącza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SATA III (6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Gb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/s) - 6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M.2 - 3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4.0/3.0 x16 - 1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3.0 x16 - 2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USB 3.2 Gen. 1 - 1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USB 2.0 - 2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ARGB 3 pin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Front Panel Audio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Złącze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wentylatora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4 pin - 4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Zewnętrzne złącza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HDMI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RJ45 (LAN)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Type-C - 1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3.2 Gen. 2 - 5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2.0 - 6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Audio jack - 5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S/PDIF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anteny Wi-Fi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lastRenderedPageBreak/>
        <w:t>Przycisk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Q-Flash Plus - 1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Obsługa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RAID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RAID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0 RAID 1 RAID 10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Obsługa układów graficznych w procesorach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Układ audio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Łączność bezprzewodowa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Wi-Fi 6 (802.11 a/b/g/n/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ac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/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ax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Bluetooth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Podświetlenie LED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Cs/>
          <w:sz w:val="18"/>
          <w:szCs w:val="18"/>
          <w:lang w:eastAsia="pl-PL"/>
        </w:rPr>
        <w:t>Zasilacz, obudowa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 xml:space="preserve">3.Monitor 34” – 1 szt.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Ekran: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34" (3440 x 1440 (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UltraWide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QHD), IPS)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Przeznaczenie: do biura do domu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Czas reakcji [ms]: maks5 (GTG)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Częstotliwość odświeżania [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Hz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]: 75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Kąt widzenia: min. 178° (poziomy)/178° (pionowy)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Podstawowe złącza: 1x DisplayPort2x HDMI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4. Jednostka centralna o poniższych parametrach  - 1 szt.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Procesor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osiągający w teście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wynik min. 17000  punktów (wynik zaproponowanego procesora musi znajdować się na stronie: </w:t>
      </w:r>
      <w:hyperlink r:id="rId8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www.cpubenchmark.net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 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pojemność dysku SSD min 1 TB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Wielkość pamięci RAM min 128 GB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graficzna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osiągająca min.  21850 punktów w teście 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  (wynik zaproponowanej karty musi znajdować się na stronie:   </w:t>
      </w:r>
      <w:hyperlink r:id="rId9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https://www.videocardbenchmark.net/gpu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Pamięć karty graficznej: min 8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Płyta główna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: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Wbudowany układ dźwiękowy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Częstotliwość pracy pamięci RAM [MHz]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lastRenderedPageBreak/>
        <w:t>2133, 2400, 2666, 2933 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Dwukanałowa obsługa pamięci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Rodzaj pamięci DDR 4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wielkość pamięci 64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ilość urządzeń Serial ATA 2 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ilość urządzeń Serial ATA 3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Gniazdo D-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Sub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Typ zintegrowanej karty sieciowej 10/100/1000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HDMI 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PCI-E 1x2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PCI-E 16x1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USB 3.0/ USB 3.1 Gen1    x2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USB 2.0       x4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USB wewnętrzne x2</w:t>
      </w: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sieciowa 2x10 GB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Zasilacz, obudowa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 xml:space="preserve">5.Jednostka centralna o poniższych parametrach  - 1 szt.  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Procesor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osiągający w teście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wynik min. 63500  punktów (wynik zaproponowanego procesora musi znajdować się na stronie: </w:t>
      </w:r>
      <w:hyperlink r:id="rId10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www.cpubenchmark.net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 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pojemność dysku SSD min 1 TB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pojemność dysku HDD min 18 TB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Wielkość pamięci RAM min 32 GB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Karta graficzna – 2 </w:t>
      </w:r>
      <w:proofErr w:type="spellStart"/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szt</w:t>
      </w:r>
      <w:proofErr w:type="spellEnd"/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;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każda osiągająca min.  22500 punktów w teście 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  (wynik zaproponowanej karty musi znajdować się na stronie:   </w:t>
      </w:r>
      <w:hyperlink r:id="rId11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https://www.videocardbenchmark.net/gpu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Pamięć karty graficznej: min 24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Płyta główna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: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Typ obsługiwanej pamięci DDR4-3200 MHz DDR4-2666 MHz DDR4-2400 MHz DDR4-2133 MHz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Typ obsługiwanej pamięci OC DDR4-4666 MHz DDR4-4000 MHz DDR4-3600 MHz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Liczba banków pamięci 8 x DIMM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wielkość pamięci RAM min. 256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Architektura pamięci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Quad-channel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Wewnętrzne złącza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SATA III (6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Gb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/s) - 8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M.2 - 2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4.0 x16 - 4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PCIe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3.0 x1 - 1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USB 3.2 Gen. 2 Typu-C - 1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3.2 Gen. 1 - 2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2.0 - 2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Front Panel Audio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Zewnętrzne złącza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RJ45 (LAN) - 2 szt.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Type-C - 1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3.2 Gen. 1 - 4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USB 3.2 Gen. 2 - 3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Audio jack - 5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S/PDIF - 1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Przycisk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Clear CMOS - 1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Przycisk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USB BIOS Flashback - 1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Obsługa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RAID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RAID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0 RAID 1 RAID 10</w:t>
      </w:r>
      <w:r w:rsidRPr="00FE04BB">
        <w:rPr>
          <w:rFonts w:ascii="Arial" w:eastAsia="Times New Roman" w:hAnsi="Arial" w:cs="Arial"/>
          <w:b/>
          <w:bCs/>
          <w:sz w:val="18"/>
          <w:szCs w:val="18"/>
          <w:lang w:val="en-US" w:eastAsia="pl-PL"/>
        </w:rPr>
        <w:t> </w:t>
      </w: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Zasilacz: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min</w:t>
      </w: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.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2000 W</w:t>
      </w: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Obudowa: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Big Tower</w:t>
      </w: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Część 2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393A0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393A0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shd w:val="clear" w:color="auto" w:fill="E6E6E6"/>
          <w:lang w:eastAsia="pl-PL"/>
        </w:rPr>
        <w:t>1</w:t>
      </w:r>
      <w:r w:rsidR="00FE04BB" w:rsidRPr="00393A0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shd w:val="clear" w:color="auto" w:fill="E6E6E6"/>
          <w:lang w:eastAsia="pl-PL"/>
        </w:rPr>
        <w:t xml:space="preserve"> Jednostka centralna o poniższych parametrach- 1 szt.</w:t>
      </w:r>
      <w:r w:rsidR="00FE04BB"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shd w:val="clear" w:color="auto" w:fill="E6E6E6"/>
          <w:lang w:eastAsia="pl-PL"/>
        </w:rPr>
        <w:t xml:space="preserve">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obudowa typu </w:t>
      </w:r>
      <w:proofErr w:type="spellStart"/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tower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: metalowa, o odpowiednim rozmiarze i wentylacji dla danej konfiguracji podzespołów, zapewniająca cichą pracę karty graficznej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zasilacz min. 850W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(lub większy, jeśli będzie wymagała tego zaproponowana konfiguracja, w szczególności karta graficzna)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karta graficzna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osiągająca min.  22900 punktów w teście 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  (wynik zaproponowanej karty musi znajdować się na stronie: </w:t>
      </w:r>
      <w:hyperlink r:id="rId12" w:tgtFrame="_blank" w:history="1">
        <w:r w:rsidRPr="00FE04BB">
          <w:rPr>
            <w:rFonts w:ascii="Arial" w:eastAsia="Times New Roman" w:hAnsi="Arial" w:cs="Arial"/>
            <w:color w:val="0563C1"/>
            <w:sz w:val="18"/>
            <w:szCs w:val="18"/>
            <w:u w:val="single"/>
            <w:lang w:eastAsia="pl-PL"/>
          </w:rPr>
          <w:t>https://www.videocardbenchmark.net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).  Karta na złączu PCI-E z pamięcią 16GB, szyna pamięci 256 bit, 2 wyjścia HDMI, 2 wyjścia Display Port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płyta główna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zapewniająca optymalne funkcjonowanie </w:t>
      </w:r>
      <w:r w:rsidRPr="00FE04BB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procesora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,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który w teście wydajności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musi osiągnąć wynik min. 22700 punktów (wynik zaproponowanego procesora powinien znajdować się na stronie: https://www.cpubenchmark.net/cpu_list.php ).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Płyta powinna również zapewnić pełne wykorzystanie możliwości karty graficznej o podanej w konfiguracji specyfikacji. Płyta o standardzie ATX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, z gniazdem procesora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Socket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AM4, standard pamięci DDR4, gniazda rozszerzeń </w:t>
      </w:r>
      <w:r w:rsidRPr="00FE04BB">
        <w:rPr>
          <w:rFonts w:ascii="Arial" w:eastAsia="Times New Roman" w:hAnsi="Arial" w:cs="Arial"/>
          <w:sz w:val="18"/>
          <w:szCs w:val="18"/>
          <w:lang w:val="de-DE" w:eastAsia="pl-PL"/>
        </w:rPr>
        <w:t xml:space="preserve">PCI Express x1 (3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de-DE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de-DE" w:eastAsia="pl-PL"/>
        </w:rPr>
        <w:t xml:space="preserve">.) i PCI Express x16 (2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de-DE" w:eastAsia="pl-PL"/>
        </w:rPr>
        <w:t>szt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de-DE" w:eastAsia="pl-PL"/>
        </w:rPr>
        <w:t>.).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pamięć RAM min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.  64GB 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Dysk SSD 2,5" min. 2TB 560/520MBs -2 szt.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przechwytywania cyfrowego kina.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Specyfikacja: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Wejścia wideo SDI - 4 x dwukierunkowe 12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Gb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/ s SD / HD / 2K / 4K / 8K. Obsługuje pojedynczy, podwójny link i poczwórny link 4: 2: 2/4: 4: 4. Przełączanie 2D / 3D.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Wyjścia wideo SDI - 4 x dwukierunkowe 12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Gb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/ s SD / HD / 2K / 4K / 8K. Obsługuje pojedynczy, podwójny link i poczwórny link 4: 2: 2/4: 4: 4. Przełączanie 2D / 3D.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Wejścia audio SDI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16 kanałów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zaembedowane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w SD / HD / 2K.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64 kanały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zaembedowane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w 4K / 8K.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Wyjścia audio SDI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16 kanałów osadzonych w SD / HD / 2K.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64 kanały osadzone w 4K / 8K.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Wejście synchronizacji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Tri-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Sync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lub Black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Burst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Interfejs komputerowy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Generacja 3 PCI Express 8, kompatybilna z 8 i 16 liniowymi slotami PCI Express.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Obsługiwane kodeki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AVC-Intra, AVCHD, Canon XF MPEG2, Digital SLR, DV-NTSC, DV-PAL, DVCPRO50, DVCPROHD, DPX, HDV, XDCAM EX, XDCAM HD, XDCAM HD422,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DNxHR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&amp;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DNxHD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, Apple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ProRes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4444, Apple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ProRes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422 HQ, Apple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ProRes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422, Apple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ProRes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LT, Apple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ProRes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422 Proxy,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Uncompressed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8-bit 4:2:2,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Uncompressed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10-bit 4:2:2,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Uncompressed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10-bit 4:4:4.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Wewnętrzna aktualizacja oprogramowania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Oprogramowanie wbudowane w sterownik. Ładowane przy uruchomieniu systemu lub za pomocą oprogramowania aktualizacyjnego.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SD Video Standards - 525i59.94 NTSC, 625i50 PAL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HD Video Standards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720p50, 720p59.94, 720p60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1080p23.98, 1080p24, 1080p25, 1080p29.97, 1080p30, 1080p50, 1080p59.94, 1080p60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1080PsF23.98, 1080PsF24, 1080PsF25, 1080PsF29.97, 1080PsF30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1080i50, 1080i59.94, 1080i60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2K Video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Standards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2K DCI 23.98p, 2K DCI 24p, 2K DCI 25p, 2K DCI 29.97p, 2K DCI 30p, DCI 50p, 2K DCI 59.94p, 2K DCI 60p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2K DCI 23.98PsF, 2K DCI 24PsF, 2K DCI 25PsF, 2K DCI 29.97PsF, 2K DCI 30PsF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Ultra HD Video Standards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2160p23.98, 2160p24, 2160p25, 2160p29.97, 2160p30, 2160p50, 2160p59.94, 2160p60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4K Video Standards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4K DCI 23.98p, 4K DCI 24p, 4K DCI 25p, 4K DCI 29.97p, 4K DCI 30p, 4K DCI 50p, 4K DCI 59.94p, 4K DCI 60p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8K Video Standards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8K 23.98p, 8K 24p, 8K 25p, 8K 29.97p, 8K 30p, 8K 50p, 8K 59.94p, 8K 60p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8K DCI Video Standards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8K DCI 23.98p, 8K DCI 24p, 8K DCI 25p, 8K DCI 29.97p, 8K DCI 30p, 8K DCI 50p, 8K DCI 59.94p, 8K DCI 60p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3D SDI Video Standards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720p50, 720p59.94, 720p60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1080p23.98, 1080p24, 1080p25, 1080p29.97, 1080p30, 1080p50, 1080p59.94, 1080p60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1080PsF23.98, 1080PsF24, 1080PsF25, 1080PsF29.97, 1080PsF30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1080i50, 1080i59.94, 1080i60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2K DCI 23.98p, 2K DCI 24p, 2K DCI 25p, 2K DCI 29.97p, 2K DCI 30p, DCI 50p, 2K DCI 59.94p, 2K DCI 60p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2K DCI 23.98PsF, 2K DCI 24PsF, 2K DCI 25PsF, 2K DCI 29.97PsF, 2K DCI 30PsF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4K DCI 23.98p, 4K DCI 24p, 4K DCI 25p, 4K DCI 29.97p, 4K DCI 30p, 4K DCI 50p, 4K DCI 59.94p, 4K DCI 60p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2160p23.98, 2160p24, 2160p25, 2160p29.97, 2160p30, 2160p50, 2160p59.94, 2160p60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SDI Compliance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SMPTE 259M, SMPTE 292M, SMPTE 296M SMPTE 372M, SMPTE 425M, SMPTE 435, SMPTE 2081, SMPTE 2082, ITU-R BT.656 and ITU-R BT.601.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SDI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Metadata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Support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- RP 188/SMPTE 12M-2 i napisy końcowe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Audio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Sampling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- Standardowa telewizyjna częstotliwość próbkowania 48 kHz i 24 bit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SDI Video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Sampling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- 4:2:2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Precyzja koloru SDI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8, 10, 12-bitowy RGB 4: 4: 4 we wszystkich trybach do 8K DCI 30p i 8, 10-bitowy YUV 4: 2: 2 we wszystkich trybach.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Przestrzeń kolorów - REC 601, REC 709, REC 2020.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Multiple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Rate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Support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- Połączenia wideo SDI można przełączać pomiędzy SD / HD / 2K / 4K i 8K.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Konwersja przestrzeni kolorów - Sprzętowy czas rzeczywisty na wyjściu.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Przetwarzanie 3D - Podwójne przechwytywanie i odtwarzanie lewego i prawego oka.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Efekty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w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czasie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>rzeczywistym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val="en-US" w:eastAsia="pl-PL"/>
        </w:rPr>
        <w:t xml:space="preserve"> - DaVinci Resolve, Final Cut Pro X internal effects. Adobe Premiere Pro CC Mercury Playback Engine effects.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Efekty wewnętrzne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Avid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Media Composer.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Obsługiwane systemy operacyjne -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macOS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10.12 Sierra,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macOS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10.13 High Sierra lub późniejsza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Windows 7, 8.1 lub Windows 10.  Wszystkie 64bit.Linux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bezprzewodowa klawiatura i mysz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System operacyjny-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393A0B" w:rsidRDefault="00393A0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393A0B">
        <w:rPr>
          <w:rFonts w:ascii="Arial" w:eastAsia="Times New Roman" w:hAnsi="Arial" w:cs="Arial"/>
          <w:b/>
          <w:bCs/>
          <w:iCs/>
          <w:sz w:val="18"/>
          <w:szCs w:val="18"/>
          <w:shd w:val="clear" w:color="auto" w:fill="E6E6E6"/>
          <w:lang w:eastAsia="pl-PL"/>
        </w:rPr>
        <w:t>2,</w:t>
      </w:r>
      <w:r w:rsidR="00FE04BB" w:rsidRPr="00393A0B">
        <w:rPr>
          <w:rFonts w:ascii="Arial" w:eastAsia="Times New Roman" w:hAnsi="Arial" w:cs="Arial"/>
          <w:b/>
          <w:bCs/>
          <w:iCs/>
          <w:sz w:val="18"/>
          <w:szCs w:val="18"/>
          <w:shd w:val="clear" w:color="auto" w:fill="E6E6E6"/>
          <w:lang w:eastAsia="pl-PL"/>
        </w:rPr>
        <w:t xml:space="preserve"> </w:t>
      </w:r>
      <w:r w:rsidR="00FE04BB" w:rsidRPr="00393A0B">
        <w:rPr>
          <w:rFonts w:ascii="Arial" w:eastAsia="Times New Roman" w:hAnsi="Arial" w:cs="Arial"/>
          <w:b/>
          <w:bCs/>
          <w:iCs/>
          <w:sz w:val="18"/>
          <w:szCs w:val="18"/>
          <w:lang w:eastAsia="pl-PL"/>
        </w:rPr>
        <w:t>Monitor 27</w:t>
      </w:r>
      <w:r w:rsidR="00FE04BB" w:rsidRPr="00393A0B">
        <w:rPr>
          <w:rFonts w:ascii="Arial" w:eastAsia="Times New Roman" w:hAnsi="Arial" w:cs="Arial"/>
          <w:b/>
          <w:bCs/>
          <w:iCs/>
          <w:sz w:val="18"/>
          <w:szCs w:val="18"/>
          <w:shd w:val="clear" w:color="auto" w:fill="E6E6E6"/>
          <w:lang w:eastAsia="pl-PL"/>
        </w:rPr>
        <w:t>"</w:t>
      </w:r>
      <w:r w:rsidR="00FE04BB" w:rsidRPr="00393A0B">
        <w:rPr>
          <w:rFonts w:ascii="Arial" w:eastAsia="Times New Roman" w:hAnsi="Arial" w:cs="Arial"/>
          <w:b/>
          <w:bCs/>
          <w:iCs/>
          <w:sz w:val="18"/>
          <w:szCs w:val="18"/>
          <w:lang w:eastAsia="pl-PL"/>
        </w:rPr>
        <w:t xml:space="preserve"> o poniższych parametrach – 2 szt.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rozdzielczość 4k (16x9), z matrycą TFT IPS z podświetlaniem LED, czas reakcji rzędu 5ms, wejścia HDMI oraz Display Port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393A0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3</w:t>
      </w:r>
      <w:r w:rsidR="00FE04BB"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 xml:space="preserve">. Jednostka centralna o poniższych parametrach – 2 szt.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obudowa typu </w:t>
      </w:r>
      <w:proofErr w:type="spellStart"/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tower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: metalowa, o odpowiednim rozmiarze i wentylacji dla danej konfiguracji podzespołów, zapewniająca cichą pracę karty graficznej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zasilacz 850W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(lub większy, jeśli będzie wymagała tego zaproponowana konfiguracja, w szczególności karta graficzna)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 xml:space="preserve">Karta graficzna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osiągająca min.  27000 punktów w teście 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  (wynik zaproponowanej karty musi znajdować się na stronie: </w:t>
      </w:r>
      <w:r w:rsidRPr="00FE04BB">
        <w:rPr>
          <w:rFonts w:ascii="Arial" w:eastAsia="Times New Roman" w:hAnsi="Arial" w:cs="Arial"/>
          <w:color w:val="0000FF"/>
          <w:sz w:val="18"/>
          <w:szCs w:val="18"/>
          <w:u w:val="single"/>
          <w:lang w:eastAsia="pl-PL"/>
        </w:rPr>
        <w:t>https://www.videocardbenchmark.net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).  Karta 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na złączu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PCI Express 4.0 x16, pamięć GDDR6 16 GB (szyna 256bit), procesor ze standardową częstotliwością taktowania rdzenia min. 16000MHz, 2 lub 3 wyjścia monitorowe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płyta główna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zapewniająca optymalne funkcjonowanie</w:t>
      </w:r>
      <w:r w:rsidRPr="00FE04BB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 xml:space="preserve"> procesora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,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który w teście wydajności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musi osiągnąć wynik min. 17 800  punktów (wynik zaproponowanego procesora powinien znajdować się na stronie: </w:t>
      </w:r>
      <w:r w:rsidRPr="00FE04BB">
        <w:rPr>
          <w:rFonts w:ascii="Arial" w:eastAsia="Times New Roman" w:hAnsi="Arial" w:cs="Arial"/>
          <w:color w:val="0000FF"/>
          <w:sz w:val="18"/>
          <w:szCs w:val="18"/>
          <w:u w:val="single"/>
          <w:lang w:eastAsia="pl-PL"/>
        </w:rPr>
        <w:t>https://www.cpubenchmark.net/cpu_list.php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). 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>Płyta powinna oprócz tego zapewniać optymalne wykorzystanie możliwości karty graficznej o podanej w konfiguracji specyfikacji. Płyta o standardzie ATX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, gniazda rozszerzeń PCI Express x16 (2 szt.).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pamięć RAM min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.  64GB 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dysk min. SSD 2,5" 1TB 560/520MBs -2 szt.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Systemy operacyjne -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bezprzewodowa klawiatura i mysz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FE04BB" w:rsidRPr="00FE04BB" w:rsidRDefault="00393A0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4</w:t>
      </w:r>
      <w:r w:rsidR="00FE04BB"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 xml:space="preserve">. Monitor 24'' o poniższych parametrach – 2 szt.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Rozdzielczość 1920 x 1080 (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FullHD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), z matrycą TFT IPS z podświetleniem LED, czas reakcji rzędu 5ms, ze złączami </w:t>
      </w:r>
      <w:r w:rsidRPr="00FE04BB">
        <w:rPr>
          <w:rFonts w:ascii="Arial" w:eastAsia="Times New Roman" w:hAnsi="Arial" w:cs="Arial"/>
          <w:color w:val="0D0D0D"/>
          <w:sz w:val="18"/>
          <w:szCs w:val="18"/>
          <w:lang w:eastAsia="pl-PL"/>
        </w:rPr>
        <w:t>D-</w:t>
      </w:r>
      <w:proofErr w:type="spellStart"/>
      <w:r w:rsidRPr="00FE04BB">
        <w:rPr>
          <w:rFonts w:ascii="Arial" w:eastAsia="Times New Roman" w:hAnsi="Arial" w:cs="Arial"/>
          <w:color w:val="0D0D0D"/>
          <w:sz w:val="18"/>
          <w:szCs w:val="18"/>
          <w:lang w:eastAsia="pl-PL"/>
        </w:rPr>
        <w:t>Sub</w:t>
      </w:r>
      <w:proofErr w:type="spellEnd"/>
      <w:r w:rsidRPr="00FE04BB">
        <w:rPr>
          <w:rFonts w:ascii="Arial" w:eastAsia="Times New Roman" w:hAnsi="Arial" w:cs="Arial"/>
          <w:color w:val="0D0D0D"/>
          <w:sz w:val="18"/>
          <w:szCs w:val="18"/>
          <w:lang w:eastAsia="pl-PL"/>
        </w:rPr>
        <w:t xml:space="preserve">, </w:t>
      </w:r>
      <w:proofErr w:type="spellStart"/>
      <w:r w:rsidRPr="00FE04BB">
        <w:rPr>
          <w:rFonts w:ascii="Arial" w:eastAsia="Times New Roman" w:hAnsi="Arial" w:cs="Arial"/>
          <w:color w:val="0D0D0D"/>
          <w:sz w:val="18"/>
          <w:szCs w:val="18"/>
          <w:lang w:eastAsia="pl-PL"/>
        </w:rPr>
        <w:t>DisplayPort</w:t>
      </w:r>
      <w:proofErr w:type="spellEnd"/>
      <w:r w:rsidRPr="00FE04BB">
        <w:rPr>
          <w:rFonts w:ascii="Arial" w:eastAsia="Times New Roman" w:hAnsi="Arial" w:cs="Arial"/>
          <w:color w:val="0D0D0D"/>
          <w:sz w:val="18"/>
          <w:szCs w:val="18"/>
          <w:lang w:eastAsia="pl-PL"/>
        </w:rPr>
        <w:t xml:space="preserve"> i HDMI.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393A0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5</w:t>
      </w:r>
      <w:r w:rsidR="00FE04BB"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 xml:space="preserve">. Jednostka centralna o poniższych parametrach – 2 szt.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obudowa typu </w:t>
      </w:r>
      <w:proofErr w:type="spellStart"/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tower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: metalowa, o odpowiednim rozmiarze i wentylacji dla danej konfiguracji podzespołów, zapewniająca cichą pracę karty graficznej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zasilacz 700W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(lub większy, jeśli będzie wymagała tego zaproponowana konfiguracja, w szczególności karta graficzna)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graficzna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osiągająca min.  9100 punktów w teście 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  (wynik zaproponowanej karty musi znajdować się na stronie: </w:t>
      </w:r>
      <w:r w:rsidRPr="00FE04BB">
        <w:rPr>
          <w:rFonts w:ascii="Arial" w:eastAsia="Times New Roman" w:hAnsi="Arial" w:cs="Arial"/>
          <w:color w:val="0000FF"/>
          <w:sz w:val="18"/>
          <w:szCs w:val="18"/>
          <w:u w:val="single"/>
          <w:lang w:eastAsia="pl-PL"/>
        </w:rPr>
        <w:t>https://www.videocardbenchmark.net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).  128bit PCI-e, z pamięcią DDR6 min. 8 GB, procesor ze standardową częstotliwością taktowania rdzenia min. 1400MHz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płyta główna 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zapewniająca optymalne funkcjonowanie </w:t>
      </w:r>
      <w:r w:rsidRPr="00FE04BB">
        <w:rPr>
          <w:rFonts w:ascii="Arial" w:eastAsia="Times New Roman" w:hAnsi="Arial" w:cs="Arial"/>
          <w:b/>
          <w:bCs/>
          <w:color w:val="000000"/>
          <w:sz w:val="18"/>
          <w:szCs w:val="18"/>
          <w:lang w:eastAsia="pl-PL"/>
        </w:rPr>
        <w:t>procesora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,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który w teście wydajności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musi osiągnąć wynik min. 17 800  punktów (wynik zaproponowanego procesora powinien znajdować się na stronie: </w:t>
      </w:r>
      <w:r w:rsidRPr="00FE04BB">
        <w:rPr>
          <w:rFonts w:ascii="Arial" w:eastAsia="Times New Roman" w:hAnsi="Arial" w:cs="Arial"/>
          <w:color w:val="0000FF"/>
          <w:sz w:val="18"/>
          <w:szCs w:val="18"/>
          <w:u w:val="single"/>
          <w:lang w:eastAsia="pl-PL"/>
        </w:rPr>
        <w:t>https://www.cpubenchmark.net/cpu_list.php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).</w:t>
      </w:r>
      <w:r w:rsidRPr="00FE04BB">
        <w:rPr>
          <w:rFonts w:ascii="Arial" w:eastAsia="Times New Roman" w:hAnsi="Arial" w:cs="Arial"/>
          <w:color w:val="000000"/>
          <w:sz w:val="18"/>
          <w:szCs w:val="18"/>
          <w:lang w:eastAsia="pl-PL"/>
        </w:rPr>
        <w:t xml:space="preserve"> Płyta powinna oprócz tego zapewniać optymalne wykorzystanie możliwości karty graficznej o podanej w konfiguracji specyfikacji. Płyta o standardzie ATX, z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chipsetem AMD B550, gniazdem procesora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Socket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AM4, standard pamięci DDR4, gniazda rozszerzeń PCI Express x1 (3 szt.) i PCI Express x16 (2 szt.)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Pamięć RAM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min. 32GB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Dysk SSD 2,5" min 1TB 560/510MBs -2 szt.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Systemy operacyjne -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bezprzewodowa klawiatura i mysz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393A0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6</w:t>
      </w:r>
      <w:r w:rsidR="00FE04BB"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 xml:space="preserve">. Monitor 32" o poniższych parametrach - 2 szt.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Rozdzielczość 2560 x 1440, z matrycą typu VA, technologia wykonania LED, czas reakcji 4ms, wejścia HDMI oraz </w:t>
      </w:r>
      <w:proofErr w:type="spellStart"/>
      <w:r w:rsidRPr="00FE04BB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DisplayPort</w:t>
      </w:r>
      <w:proofErr w:type="spellEnd"/>
      <w:r w:rsidRPr="00FE04BB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Courier New" w:eastAsia="Times New Roman" w:hAnsi="Courier New" w:cs="Courier New"/>
          <w:color w:val="222222"/>
          <w:sz w:val="20"/>
          <w:szCs w:val="20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Część 3</w:t>
      </w: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1. Zestaw komputerowy o poniższych parametrach – 2 szt. 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Procesor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osiągający w teście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wynik min. 17000  punktów (wynik zaproponowanego procesora musi znajdować się na stronie: </w:t>
      </w:r>
      <w:hyperlink r:id="rId13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www.cpubenchmark.net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 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Płyta główna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Częstotliwość pracy pamięci RAM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2133 MHz, 2400 MHz, 2667 MHz, 2933 MHz, 3200 MHz, 3333 MHz (O.C.), 3600 MHz (O.C.), 4000 MHz (O.C.), 4400 MHz (O.C.), 4600 MHz (O.C.), 4733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Mhz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(O.C.)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wielkość pamięci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128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Dwukanałowa obsługa pamięci 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Wbudowany układ dźwiękowy 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Typ zintegrowanej karty sieciowej 100/1000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Mbps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ilość urządzeń Serial ATA 3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4 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M2 2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Układ RAID SATA 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WEJŚCIA/WYJŚCIA 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USB 3.2 Gen1 3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USB 3.2 Gen2 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USB 2.0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6 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Gniazdo HDMI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Gniazdo DVI 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PCI-E 16x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PCI-E 1x 3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Standard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ATX Częstotliwość pracy pamięci RAM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2133 MHz, 2400 MHz, 2667 MHz, 2933 MHz, 3200 MHz, 3333 MHz (O.C.), 3600 MHz (O.C.), 4000 MHz (O.C.), 4400 MHz (O.C.), 4600 MHz (O.C.), 4733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Mhz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(O.C.)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wielkość pamięci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128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Dwukanałowa obsługa pamięci 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Wbudowany układ dźwiękowy 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Typ zintegrowanej karty sieciowej 100/1000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Mbps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ilość urządzeń Serial ATA 3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4 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M2 2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Układ RAID SATA 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WEJŚCIA/WYJŚCIA 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USB 3.2 Gen1 3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USB 3.2 Gen2 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USB 2.0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6 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Gniazdo HDMI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Gniazdo DVI 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PCI-E 16x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 PCI-E 1x 3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Standard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ATX)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Pamięć RAM min. 32MB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graficzna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osiągająca min.  9100 punktów w teście 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  (wynik zaproponowanej karty musi znajdować się na stronie: </w:t>
      </w:r>
      <w:r w:rsidRPr="00FE04BB">
        <w:rPr>
          <w:rFonts w:ascii="Arial" w:eastAsia="Times New Roman" w:hAnsi="Arial" w:cs="Arial"/>
          <w:color w:val="0000FF"/>
          <w:sz w:val="18"/>
          <w:szCs w:val="18"/>
          <w:u w:val="single"/>
          <w:lang w:eastAsia="pl-PL"/>
        </w:rPr>
        <w:t>https://www.videocardbenchmark.net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).  128bit PCI-e, z pamięcią  8 GB, procesor ze standardową częstotliwością taktowania rdzenia min. 1400MHz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Dysk SSD min. 1 TB – 2 szt.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Obudowa metalowa typu wieża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Zasilacz min. 700W (lub więcej jeśli wymaga tego konfiguracja)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393A0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pl-PL"/>
        </w:rPr>
        <w:t>2</w:t>
      </w:r>
      <w:r w:rsidR="00FE04BB"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.  Monitor QHD 32” - 2 szt.</w:t>
      </w:r>
      <w:r w:rsidR="00FE04BB"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czas reakcji 4ms, częstotliwość odświeżania 144Hz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color w:val="FF0000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Część 4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3656EC" w:rsidRDefault="00FE04BB" w:rsidP="00FE04BB">
      <w:p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b/>
          <w:bCs/>
          <w:i/>
          <w:iCs/>
          <w:sz w:val="18"/>
          <w:szCs w:val="18"/>
          <w:lang w:eastAsia="pl-PL"/>
        </w:rPr>
      </w:pPr>
      <w:r w:rsidRPr="003656EC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1. Komputer przenośny z dyskiem SSD- 1 szt.</w:t>
      </w:r>
      <w:r w:rsidRPr="003656EC">
        <w:rPr>
          <w:rFonts w:ascii="Arial" w:eastAsia="Times New Roman" w:hAnsi="Arial" w:cs="Arial"/>
          <w:b/>
          <w:bCs/>
          <w:i/>
          <w:iCs/>
          <w:sz w:val="18"/>
          <w:szCs w:val="18"/>
          <w:lang w:eastAsia="pl-PL"/>
        </w:rPr>
        <w:t>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b/>
          <w:bCs/>
          <w:sz w:val="18"/>
          <w:szCs w:val="18"/>
          <w:lang w:eastAsia="pl-PL"/>
        </w:rPr>
        <w:t>Ekran o przekątnej 13,3 cala</w:t>
      </w:r>
      <w:r w:rsidRPr="003656EC">
        <w:rPr>
          <w:rFonts w:ascii="Arial" w:hAnsi="Arial" w:cs="Arial"/>
          <w:sz w:val="18"/>
          <w:szCs w:val="18"/>
          <w:lang w:eastAsia="pl-PL"/>
        </w:rPr>
        <w:t xml:space="preserve"> z podświetleniem LED, w technologii IPS; rozdzielczość natywna 2560 na 1600 pikseli przy 227 pikselach na cal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Jasność 500 nitów; Szeroka gama kolorów (P3)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b/>
          <w:bCs/>
          <w:sz w:val="18"/>
          <w:szCs w:val="18"/>
          <w:lang w:eastAsia="pl-PL"/>
        </w:rPr>
        <w:t>Procesor</w:t>
      </w:r>
      <w:r w:rsidRPr="003656EC">
        <w:rPr>
          <w:rFonts w:ascii="Arial" w:hAnsi="Arial" w:cs="Arial"/>
          <w:sz w:val="18"/>
          <w:szCs w:val="18"/>
          <w:lang w:eastAsia="pl-PL"/>
        </w:rPr>
        <w:t xml:space="preserve"> osiągający w teście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PassMark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CPU Mark wynik min. 15100  punktów (wynik zaproponowanego procesora musi znajdować się na stronie: </w:t>
      </w:r>
      <w:hyperlink r:id="rId14" w:tgtFrame="_blank" w:history="1">
        <w:r w:rsidRPr="003656EC">
          <w:rPr>
            <w:rFonts w:ascii="Arial" w:hAnsi="Arial" w:cs="Arial"/>
            <w:sz w:val="18"/>
            <w:szCs w:val="18"/>
            <w:lang w:eastAsia="pl-PL"/>
          </w:rPr>
          <w:t>www.cpubenchmark.net</w:t>
        </w:r>
      </w:hyperlink>
      <w:r w:rsidRPr="003656EC">
        <w:rPr>
          <w:rFonts w:ascii="Arial" w:hAnsi="Arial" w:cs="Arial"/>
          <w:sz w:val="18"/>
          <w:szCs w:val="18"/>
          <w:lang w:eastAsia="pl-PL"/>
        </w:rPr>
        <w:t>   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Zasilanie i bateria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Wbudowany akumulator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litowo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-polimerowy o pojemności min. 58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Wh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>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Zasilacz USBC o mocy min. 60 W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b/>
          <w:bCs/>
          <w:sz w:val="18"/>
          <w:szCs w:val="18"/>
          <w:lang w:eastAsia="pl-PL"/>
        </w:rPr>
        <w:t>Pamięć RAM</w:t>
      </w:r>
      <w:r w:rsidRPr="003656EC">
        <w:rPr>
          <w:rFonts w:ascii="Arial" w:hAnsi="Arial" w:cs="Arial"/>
          <w:sz w:val="18"/>
          <w:szCs w:val="18"/>
          <w:lang w:eastAsia="pl-PL"/>
        </w:rPr>
        <w:t xml:space="preserve"> min. 16 GB zunifikowanej pamięci RAM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b/>
          <w:bCs/>
          <w:sz w:val="18"/>
          <w:szCs w:val="18"/>
          <w:lang w:eastAsia="pl-PL"/>
        </w:rPr>
        <w:t xml:space="preserve">Pamięć masowa SSD </w:t>
      </w:r>
      <w:r w:rsidRPr="003656EC">
        <w:rPr>
          <w:rFonts w:ascii="Arial" w:hAnsi="Arial" w:cs="Arial"/>
          <w:sz w:val="18"/>
          <w:szCs w:val="18"/>
          <w:lang w:eastAsia="pl-PL"/>
        </w:rPr>
        <w:t>min.  1 TB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Ładowanie i podłączanie dodatkowych urządzeń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Dwa porty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Thunderbolt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/ USB 4 obsługujące: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Ładowanie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DisplayPort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>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Thunderbolt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3 (do 40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Gb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>/s)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USB 3.1 drugiej generacji (do 10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Gb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>/s)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Klawiatura i gładzik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Podświetlana klawiatura wyposażona w: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65 (USA) lub 66 (ISO) klawiszy, w tym 4 klawisze strzałek w układzie odwróconego „T” </w:t>
      </w:r>
    </w:p>
    <w:p w:rsidR="003656EC" w:rsidRPr="003656EC" w:rsidRDefault="003656EC" w:rsidP="003656EC">
      <w:pPr>
        <w:pStyle w:val="Bezodstpw"/>
        <w:rPr>
          <w:rFonts w:ascii="Arial" w:hAnsi="Arial" w:cs="Arial"/>
          <w:color w:val="333333"/>
          <w:sz w:val="18"/>
          <w:szCs w:val="18"/>
          <w:lang w:eastAsia="pl-PL"/>
        </w:rPr>
      </w:pPr>
      <w:r>
        <w:rPr>
          <w:rFonts w:ascii="Arial" w:hAnsi="Arial" w:cs="Arial"/>
          <w:color w:val="333333"/>
          <w:sz w:val="18"/>
          <w:szCs w:val="18"/>
          <w:lang w:eastAsia="pl-PL"/>
        </w:rPr>
        <w:t>D</w:t>
      </w:r>
      <w:r w:rsidRPr="003656EC">
        <w:rPr>
          <w:rFonts w:ascii="Arial" w:hAnsi="Arial" w:cs="Arial"/>
          <w:color w:val="333333"/>
          <w:sz w:val="18"/>
          <w:szCs w:val="18"/>
          <w:lang w:eastAsia="pl-PL"/>
        </w:rPr>
        <w:t>otykowy panel OLED</w:t>
      </w:r>
      <w:r w:rsidRPr="003656EC">
        <w:rPr>
          <w:rFonts w:ascii="Arial" w:hAnsi="Arial" w:cs="Arial"/>
          <w:b/>
          <w:bCs/>
          <w:color w:val="333333"/>
          <w:sz w:val="18"/>
          <w:szCs w:val="18"/>
          <w:lang w:eastAsia="pl-PL"/>
        </w:rPr>
        <w:t xml:space="preserve">, </w:t>
      </w:r>
      <w:r w:rsidRPr="003656EC">
        <w:rPr>
          <w:rFonts w:ascii="Arial" w:hAnsi="Arial" w:cs="Arial"/>
          <w:color w:val="333333"/>
          <w:sz w:val="18"/>
          <w:szCs w:val="18"/>
          <w:lang w:eastAsia="pl-PL"/>
        </w:rPr>
        <w:t>zmieniający swój wygląd w zależności od aktualnie używanej aplikacji i  umożliwiający szybką zmianę najczęściej wprowadzanych ustawień (zmiana jasności ekranu, regulacja głośności, wyciszenie głośników, odtwarzanie muzyki)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Czytnik </w:t>
      </w:r>
      <w:r w:rsidR="003656EC" w:rsidRPr="003656EC">
        <w:rPr>
          <w:rFonts w:ascii="Arial" w:hAnsi="Arial" w:cs="Arial"/>
          <w:sz w:val="18"/>
          <w:szCs w:val="18"/>
          <w:lang w:eastAsia="pl-PL"/>
        </w:rPr>
        <w:t>linii papilarnych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Czujnik oświetlenia zewnętrznego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Gładzik wyczuwający siłę nacisku i umożliwiający precyzyjne sterowanie kursorem; obsługuje mocne kliknięcia, akcelerację, rysowanie z gradacją nacisku oraz gesty 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Komunikacja bezprzewodowa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Wi-Fi: Interfejs sieci bezprzewodowej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WiFi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6 802.11ax; zgodny z IEEE 802.11a/b/g/n/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ac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>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Bluetooth: Interfejs bezprzewodowy Bluetooth 5.0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Kamera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FaceTime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HD 720p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Obsługa wideo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Możliwość jednoczesnego wyświetlania obrazu w pełnej natywnej rozdzielczości na wbudowanym ekranie 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Obsługa jednego monitora zewnętrznego o rozdzielczości maksymalnej 6K przy 60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Hz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>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Cyfrowe wyjście wideo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Thunderbolt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3: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Natywne wyjście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DisplayPort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przez USB-C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Wyjścia VGA, HDMI i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Thunderbolt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2 obsługiwane przez przejściówki 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Dźwięk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Głośniki stereofoniczne z szerokim zakresem dynamicznym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Przestrzenny dźwięk stereo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Układ trzech mikrofonów z technologią kierunkowego kształtowania wiązki akustycznej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Gniazdo słuchawkowe 3,5 mm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 Wymagania elektryczne i środowiskowe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Napięcie sieci: od 100 V do 240 V AC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Częstotliwość: od 50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Hz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do 60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Hz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>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Temperatura eksploatacji: od 10°C do 35°C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Temperatura przechowywania: od –25°C do 45°C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System operacyjny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Wymiary: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Wysokość maks. 1.6 cm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Szerokość: 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maks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30,50 cm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 xml:space="preserve">Głębokość: </w:t>
      </w:r>
      <w:proofErr w:type="spellStart"/>
      <w:r w:rsidRPr="003656EC">
        <w:rPr>
          <w:rFonts w:ascii="Arial" w:hAnsi="Arial" w:cs="Arial"/>
          <w:sz w:val="18"/>
          <w:szCs w:val="18"/>
          <w:lang w:eastAsia="pl-PL"/>
        </w:rPr>
        <w:t>maks</w:t>
      </w:r>
      <w:proofErr w:type="spellEnd"/>
      <w:r w:rsidRPr="003656EC">
        <w:rPr>
          <w:rFonts w:ascii="Arial" w:hAnsi="Arial" w:cs="Arial"/>
          <w:sz w:val="18"/>
          <w:szCs w:val="18"/>
          <w:lang w:eastAsia="pl-PL"/>
        </w:rPr>
        <w:t xml:space="preserve"> 21,50 cm </w:t>
      </w:r>
    </w:p>
    <w:p w:rsidR="00FE04BB" w:rsidRPr="003656EC" w:rsidRDefault="00FE04BB" w:rsidP="003656EC">
      <w:pPr>
        <w:pStyle w:val="Bezodstpw"/>
        <w:rPr>
          <w:rFonts w:ascii="Arial" w:hAnsi="Arial" w:cs="Arial"/>
          <w:sz w:val="18"/>
          <w:szCs w:val="18"/>
          <w:lang w:eastAsia="pl-PL"/>
        </w:rPr>
      </w:pPr>
      <w:r w:rsidRPr="003656EC">
        <w:rPr>
          <w:rFonts w:ascii="Arial" w:hAnsi="Arial" w:cs="Arial"/>
          <w:sz w:val="18"/>
          <w:szCs w:val="18"/>
          <w:lang w:eastAsia="pl-PL"/>
        </w:rPr>
        <w:t>Gwarancja 12 miesięcy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Cześć 5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1. Serwer pozwalający na umieszczenie co najmniej 4 dysków w macierzy </w:t>
      </w: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oraz realizację RAID-6, umożliwiający dostęp do zasobów w sposób chroniony (możliwość wykorzystania szyfrowanych protokołów wymiany plików), z dostępnym webowym interfejsem do zarządzania serwerem NAS. Obsługiwane protokoły wymiany i współdzielenia plików: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smb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/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cifs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nfs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afp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scp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/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sftp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/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ssh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ftps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https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Dodatkowe funkcjonalności: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- możliwość uruchomienia serwera rozproszonej kontroli wersji Git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- możliwość uruchomienia serwera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Syslog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- możliwość uruchomienia serwera VPN (wymagana dostępność oprogramowania klienckiego dla różnych systemów operacyjnych; preferowany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OpenVPN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lub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IPSec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)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- możliwość uruchamiania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zwirtualizowanych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systemów w postaci lekkich kontenerów – nie jest warunkiem wymaganym, ale będzie dodatkowym atutem.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Obudowa wolnostojąca.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Gwarancja: min. 36 miesięcy.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Dyski: 4 sztuki; HDD, min. 14TB każdy, SATA 6Gb/s, 7200 RPM, przeznaczone do pracy ciągłej (7/24)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Gwarancja na dyski: min. 60 miesięcy.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Część 6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u w:val="single"/>
          <w:lang w:eastAsia="pl-PL"/>
        </w:rPr>
        <w:t>1. Serwer roboczy silnika wyszukiwawczego  </w:t>
      </w:r>
      <w:r w:rsidRPr="00FE04BB">
        <w:rPr>
          <w:rFonts w:ascii="Arial" w:eastAsia="Times New Roman" w:hAnsi="Arial" w:cs="Arial"/>
          <w:b/>
          <w:bCs/>
          <w:i/>
          <w:iCs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Procesor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osiągający w teście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CPU Mark wynik min. 20000  punktów (wynik zaproponowanego procesora musi znajdować się na stronie: </w:t>
      </w:r>
      <w:hyperlink r:id="rId15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www.cpubenchmark.net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 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pojemność dysku SSD min 1 TB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Pojemność dysku HDD min. 4 TB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Wielkość pamięci RAM min 64 GB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graficzna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osiągająca min.  21000 punktów w teście  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PassMark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  (wynik zaproponowanej karty musi znajdować się na stronie:   </w:t>
      </w:r>
      <w:hyperlink r:id="rId16" w:tgtFrame="_blank" w:history="1">
        <w:r w:rsidRPr="00FE04BB">
          <w:rPr>
            <w:rFonts w:ascii="Arial" w:eastAsia="Times New Roman" w:hAnsi="Arial" w:cs="Arial"/>
            <w:sz w:val="18"/>
            <w:szCs w:val="18"/>
            <w:lang w:eastAsia="pl-PL"/>
          </w:rPr>
          <w:t>https://www.videocardbenchmark.net/gpu</w:t>
        </w:r>
      </w:hyperlink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Pamięć karty graficznej: min 8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Płyta główna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 xml:space="preserve"> :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Wbudowany układ dźwiękowy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Częstotliwość pracy pamięci RAM [MHz]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2133, 2400, 2666, 2933 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Dwukanałowa obsługa pamięci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Rodzaj pamięci DDR 4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wielkość pamięci 64 GB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ilość urządzeń Serial ATA 2 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Maksymalna ilość urządzeń Serial ATA 3 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Gniazdo D-</w:t>
      </w:r>
      <w:proofErr w:type="spellStart"/>
      <w:r w:rsidRPr="00FE04BB">
        <w:rPr>
          <w:rFonts w:ascii="Arial" w:eastAsia="Times New Roman" w:hAnsi="Arial" w:cs="Arial"/>
          <w:sz w:val="18"/>
          <w:szCs w:val="18"/>
          <w:lang w:eastAsia="pl-PL"/>
        </w:rPr>
        <w:t>Sub</w:t>
      </w:r>
      <w:proofErr w:type="spellEnd"/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Typ zintegrowanej karty sieciowej 10/100/1000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Złącza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HDMI 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PCI-E 1x2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PCI-E 16x1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USB 3.0/ USB 3.1 Gen1    x2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USB 2.0       x4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sz w:val="18"/>
          <w:szCs w:val="18"/>
          <w:lang w:eastAsia="pl-PL"/>
        </w:rPr>
        <w:t>Złącze USB wewnętrzne x2</w:t>
      </w: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Karta sieciowa 2x10 GB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Zasilacz, obudowa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 xml:space="preserve">Gwarancja </w:t>
      </w:r>
      <w:r w:rsidR="003656EC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>dla wszystkich części</w:t>
      </w:r>
      <w:r w:rsidRPr="00FE04BB"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  <w:t xml:space="preserve"> (jeśli w opisie danej pozycji nie podano inaczej) 24 miesięcy sprawowana za pośrednictwem dostawcy. Czas reakcji serwisu maks.  48 godzin. Czas naprawy nie dłużej niż 14 dni.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Punktowanie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Cena 60 %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Warunki płatności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14 dni –0 pkt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30 dni –20 pkt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Czas reakcji serwisu – 48 godzin – 0 pkt.</w:t>
      </w:r>
      <w:r w:rsidRPr="00FE04B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24 godziny –10 pkt.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Czas naprawy 14 dni –0 pkt.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Czas naprawy 7 dni –10 pkt.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FE04BB" w:rsidRPr="00FE04BB" w:rsidRDefault="00FE04BB" w:rsidP="00FE04BB">
      <w:pPr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04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Czas dostawy 28 dni </w:t>
      </w:r>
      <w:r w:rsidRPr="00FE04BB">
        <w:rPr>
          <w:rFonts w:ascii="Arial" w:eastAsia="Times New Roman" w:hAnsi="Arial" w:cs="Arial"/>
          <w:sz w:val="18"/>
          <w:szCs w:val="18"/>
          <w:lang w:eastAsia="pl-PL"/>
        </w:rPr>
        <w:t> </w:t>
      </w:r>
    </w:p>
    <w:p w:rsidR="00140E69" w:rsidRDefault="00140E69"/>
    <w:sectPr w:rsidR="00140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4BB"/>
    <w:rsid w:val="00140E69"/>
    <w:rsid w:val="003656EC"/>
    <w:rsid w:val="00393A0B"/>
    <w:rsid w:val="00592DD8"/>
    <w:rsid w:val="005A5EC3"/>
    <w:rsid w:val="00B32879"/>
    <w:rsid w:val="00D15009"/>
    <w:rsid w:val="00FE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56642E-6739-47F7-8028-1AE7AD5DF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FE04BB"/>
  </w:style>
  <w:style w:type="paragraph" w:customStyle="1" w:styleId="msonormal0">
    <w:name w:val="msonormal"/>
    <w:basedOn w:val="Normalny"/>
    <w:rsid w:val="00FE0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FE04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run">
    <w:name w:val="textrun"/>
    <w:basedOn w:val="Domylnaczcionkaakapitu"/>
    <w:rsid w:val="00FE04BB"/>
  </w:style>
  <w:style w:type="character" w:customStyle="1" w:styleId="normaltextrun">
    <w:name w:val="normaltextrun"/>
    <w:basedOn w:val="Domylnaczcionkaakapitu"/>
    <w:rsid w:val="00FE04BB"/>
  </w:style>
  <w:style w:type="character" w:customStyle="1" w:styleId="eop">
    <w:name w:val="eop"/>
    <w:basedOn w:val="Domylnaczcionkaakapitu"/>
    <w:rsid w:val="00FE04BB"/>
  </w:style>
  <w:style w:type="character" w:customStyle="1" w:styleId="contextualspellingandgrammarerror">
    <w:name w:val="contextualspellingandgrammarerror"/>
    <w:basedOn w:val="Domylnaczcionkaakapitu"/>
    <w:rsid w:val="00FE04BB"/>
  </w:style>
  <w:style w:type="character" w:customStyle="1" w:styleId="trackedchange">
    <w:name w:val="trackedchange"/>
    <w:basedOn w:val="Domylnaczcionkaakapitu"/>
    <w:rsid w:val="00FE04BB"/>
  </w:style>
  <w:style w:type="character" w:customStyle="1" w:styleId="spellingerror">
    <w:name w:val="spellingerror"/>
    <w:basedOn w:val="Domylnaczcionkaakapitu"/>
    <w:rsid w:val="00FE04BB"/>
  </w:style>
  <w:style w:type="character" w:styleId="Hipercze">
    <w:name w:val="Hyperlink"/>
    <w:basedOn w:val="Domylnaczcionkaakapitu"/>
    <w:uiPriority w:val="99"/>
    <w:semiHidden/>
    <w:unhideWhenUsed/>
    <w:rsid w:val="00FE04B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E04BB"/>
    <w:rPr>
      <w:color w:val="800080"/>
      <w:u w:val="single"/>
    </w:rPr>
  </w:style>
  <w:style w:type="character" w:customStyle="1" w:styleId="tabrun">
    <w:name w:val="tabrun"/>
    <w:basedOn w:val="Domylnaczcionkaakapitu"/>
    <w:rsid w:val="00FE04BB"/>
  </w:style>
  <w:style w:type="character" w:customStyle="1" w:styleId="tabchar">
    <w:name w:val="tabchar"/>
    <w:basedOn w:val="Domylnaczcionkaakapitu"/>
    <w:rsid w:val="00FE04BB"/>
  </w:style>
  <w:style w:type="character" w:customStyle="1" w:styleId="linebreakblob">
    <w:name w:val="linebreakblob"/>
    <w:basedOn w:val="Domylnaczcionkaakapitu"/>
    <w:rsid w:val="00FE04BB"/>
  </w:style>
  <w:style w:type="character" w:customStyle="1" w:styleId="scxw9986893">
    <w:name w:val="scxw9986893"/>
    <w:basedOn w:val="Domylnaczcionkaakapitu"/>
    <w:rsid w:val="00FE04BB"/>
  </w:style>
  <w:style w:type="paragraph" w:styleId="Bezodstpw">
    <w:name w:val="No Spacing"/>
    <w:uiPriority w:val="1"/>
    <w:qFormat/>
    <w:rsid w:val="003656E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5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6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1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8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3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1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6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5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2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7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2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1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8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6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1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8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8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3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hyperlink" Target="http://www.cpubenchmark.net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videocardbenchmark.net/gpu" TargetMode="External"/><Relationship Id="rId12" Type="http://schemas.openxmlformats.org/officeDocument/2006/relationships/hyperlink" Target="https://www.videocardbenchmark.net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videocardbenchmark.net/gp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pubenchmark.net" TargetMode="External"/><Relationship Id="rId11" Type="http://schemas.openxmlformats.org/officeDocument/2006/relationships/hyperlink" Target="https://www.videocardbenchmark.net/gpu" TargetMode="External"/><Relationship Id="rId5" Type="http://schemas.openxmlformats.org/officeDocument/2006/relationships/hyperlink" Target="https://www.videocardbenchmark.net/gpu" TargetMode="External"/><Relationship Id="rId15" Type="http://schemas.openxmlformats.org/officeDocument/2006/relationships/hyperlink" Target="http://www.cpubenchmark.net" TargetMode="External"/><Relationship Id="rId10" Type="http://schemas.openxmlformats.org/officeDocument/2006/relationships/hyperlink" Target="http://www.cpubenchmark.net" TargetMode="External"/><Relationship Id="rId4" Type="http://schemas.openxmlformats.org/officeDocument/2006/relationships/hyperlink" Target="http://www.cpubenchmark.net" TargetMode="External"/><Relationship Id="rId9" Type="http://schemas.openxmlformats.org/officeDocument/2006/relationships/hyperlink" Target="https://www.videocardbenchmark.net/gpu" TargetMode="External"/><Relationship Id="rId14" Type="http://schemas.openxmlformats.org/officeDocument/2006/relationships/hyperlink" Target="http://www.cpu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3446</Words>
  <Characters>20679</Characters>
  <Application>Microsoft Office Word</Application>
  <DocSecurity>4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Karolina Ciechanowska</cp:lastModifiedBy>
  <cp:revision>2</cp:revision>
  <dcterms:created xsi:type="dcterms:W3CDTF">2021-12-14T12:23:00Z</dcterms:created>
  <dcterms:modified xsi:type="dcterms:W3CDTF">2021-12-14T12:23:00Z</dcterms:modified>
</cp:coreProperties>
</file>