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66"/>
        <w:gridCol w:w="3239"/>
        <w:gridCol w:w="1592"/>
        <w:gridCol w:w="1699"/>
        <w:gridCol w:w="2409"/>
        <w:gridCol w:w="992"/>
        <w:gridCol w:w="2269"/>
        <w:gridCol w:w="2220"/>
        <w:gridCol w:w="222"/>
      </w:tblGrid>
      <w:tr w:rsidR="004F3B81" w:rsidRPr="00213F8F" w:rsidTr="004F3B81">
        <w:trPr>
          <w:jc w:val="center"/>
        </w:trPr>
        <w:tc>
          <w:tcPr>
            <w:tcW w:w="21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E5277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2212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659F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8966F9" w:rsidRPr="00B06ED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5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8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F3B81" w:rsidRPr="00213F8F" w:rsidTr="004F3B81">
        <w:trPr>
          <w:trHeight w:val="869"/>
          <w:jc w:val="center"/>
        </w:trPr>
        <w:tc>
          <w:tcPr>
            <w:tcW w:w="2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7C1B9B" w:rsidP="00E42372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System intensywnego nadzoru kardiologicznego</w:t>
            </w:r>
            <w:r w:rsidR="004F3B81" w:rsidRPr="004F3B8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7C1B9B" w:rsidP="00E42372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B06ED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5F4726" w:rsidRDefault="005F4726" w:rsidP="005F4726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W przypadku wystąpienia dwóch stawek podatku VAT należy przedstawić sposób wyliczenia ceny jednostkowej brutto z uwzględnieniem dwóch różnych stawek VAT.</w:t>
      </w: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F4726" w:rsidRDefault="005F4726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455"/>
        <w:gridCol w:w="2353"/>
      </w:tblGrid>
      <w:tr w:rsidR="001F32C3" w:rsidRPr="00A219DE" w:rsidTr="005F4726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B06EDF" w:rsidRDefault="001F32C3" w:rsidP="005F472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F32C3" w:rsidRPr="00B06EDF" w:rsidRDefault="001F32C3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B06EDF" w:rsidRDefault="001F32C3" w:rsidP="005F472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F32C3" w:rsidRPr="00B06EDF" w:rsidRDefault="001F32C3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06EDF" w:rsidRDefault="001F32C3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06EDF" w:rsidRDefault="001F32C3" w:rsidP="005F4726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B06ED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06ED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B06EDF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B06EDF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1F32C3" w:rsidRPr="00A219DE" w:rsidTr="005F4726">
        <w:trPr>
          <w:cantSplit/>
          <w:trHeight w:hRule="exact" w:val="400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06EDF" w:rsidRDefault="001F32C3" w:rsidP="005F472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06EDF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CD2EC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D2EC4" w:rsidRPr="00B06EDF" w:rsidRDefault="00CD2EC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D2EC4" w:rsidRPr="00C407A0" w:rsidRDefault="00CD2EC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ofercie ujęta b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udowa stosownej infrastruktury teleinformatycznej.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D2EC4" w:rsidRPr="00B06EDF" w:rsidRDefault="00CD2EC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D2EC4" w:rsidRDefault="00CD2EC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94538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4538" w:rsidRPr="00B06EDF" w:rsidRDefault="00394538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4538" w:rsidRPr="00C407A0" w:rsidRDefault="00394538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System monitorowania kompatybilny z monitorami systemu Carescape posiadanymi przez Zamawiającego w obszarze intensywnej terapii.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4538" w:rsidRPr="001C1F2E" w:rsidRDefault="00394538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2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4538" w:rsidRDefault="00394538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integracji z dostępnym klinicznym systemem informatycznym (CIS) producenta oferowanego systemu monitorowania pacjenta</w:t>
            </w:r>
            <w:r w:rsidR="006A2614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="006A2614" w:rsidRPr="00F84A96">
              <w:rPr>
                <w:rFonts w:ascii="Arial Narrow" w:hAnsi="Arial Narrow" w:cs="Calibri"/>
                <w:color w:val="000000"/>
                <w:sz w:val="22"/>
                <w:szCs w:val="22"/>
              </w:rPr>
              <w:t>lub z dowolnym dostawcą</w:t>
            </w:r>
            <w:r w:rsidRPr="00F84A96">
              <w:rPr>
                <w:rFonts w:ascii="Arial Narrow" w:hAnsi="Arial Narrow" w:cs="Calibri"/>
                <w:color w:val="000000"/>
                <w:sz w:val="22"/>
                <w:szCs w:val="22"/>
              </w:rPr>
              <w:t>,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w polskiej wersji językowej, umożliwiającym prowadzenie elektronicznej dokumentacji medycznej i zapewniającym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skal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945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 wyposażony we wbudowaną ramę na przynajmniej 2 zaawansowane moduły, z możliwością zmiany kąta odchylenia ramy o 90 stopni względem osi pionowej monitora</w:t>
            </w:r>
            <w:r w:rsidR="001B11C7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C407A0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GoBack"/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</w:t>
            </w:r>
            <w:r w:rsidR="00CE58B4" w:rsidRPr="001C1F2E">
              <w:rPr>
                <w:rFonts w:ascii="Arial Narrow" w:hAnsi="Arial Narrow" w:cs="Arial"/>
                <w:b/>
                <w:sz w:val="22"/>
                <w:szCs w:val="22"/>
              </w:rPr>
              <w:t>K – 1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  <w:bookmarkEnd w:id="0"/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Każde stanowisko systemu monitorowania składa się z dużego monitora stacjonarnego, zapewniającego pełną obsługę funkcji monitorowania pacjenta, oraz z niewielkich rozmiarów modułu transportowego z ekranem, opisanego w dalszej części specyfikacji</w:t>
            </w:r>
            <w:r w:rsidR="00C369C4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Wszystkie elementy systemu monitorowania pacjenta chłodzone konwekcyjnie, pasywnie - bez użycia wentylatorów</w:t>
            </w:r>
            <w:r w:rsidR="00C369C4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System monitorowania pacjenta przeznaczony do 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monitorowania pacjentów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dorosłych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Komunikacja z użytkownikiem w języku polskim</w:t>
            </w:r>
            <w:r w:rsidR="00C369C4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  <w:vertAlign w:val="superscript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 wyposażony w tryb "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Standby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  <w:r w:rsidR="00C60351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  <w:vertAlign w:val="superscript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  <w:r w:rsidR="00C60351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Zasilanie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Zasilanie sieciowe, zgodne z PN, dostosowane do 230V/50Hz</w:t>
            </w:r>
            <w:r w:rsidR="00C60351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Monitor wyposażony w zasilanie akumulatorowe zapewniające przynajmniej </w:t>
            </w:r>
            <w:r w:rsidR="006A2614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60</w:t>
            </w:r>
            <w:r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minut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pracy na wypadek zaniku zasilania lub transportu. W czasie pracy na baterii parametry są wyświetlane na dużym ekranie monitora stacjonarnego</w:t>
            </w:r>
            <w:r w:rsidR="006A2614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90212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6A2614">
              <w:rPr>
                <w:rFonts w:ascii="Arial Narrow" w:hAnsi="Arial Narrow" w:cs="Arial"/>
                <w:sz w:val="22"/>
                <w:szCs w:val="22"/>
              </w:rPr>
              <w:br/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902124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Praca w sieci centralnego monitorowania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pracy w sieci centralnego monitorowania, zgodnej ze standardem Ethernet. Możliwość rozbudowy o bezprzewodowe połączenie z siecią monitorowania, zgodnie ze standardem przynajmniej IEEE802.11</w:t>
            </w:r>
            <w:proofErr w:type="gram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</w:t>
            </w:r>
            <w:proofErr w:type="gram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i/lub b/g z zabezpieczeniami na poziomie nie gorszym niż WPA2-PSK</w:t>
            </w:r>
            <w:r w:rsidR="00CB523B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9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  <w:r w:rsidR="00CB523B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Monitory zapewniają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otwarcie ekranu zdalnego monitora w momencie wystąpienia zdarzenia alarmowego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196445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="00902124" w:rsidRPr="001C1F2E">
              <w:rPr>
                <w:rFonts w:ascii="Arial Narrow" w:hAnsi="Arial Narrow" w:cs="Arial"/>
                <w:b/>
                <w:sz w:val="22"/>
                <w:szCs w:val="22"/>
              </w:rPr>
              <w:t>utomatyczne otwarcie okna – 3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="005F4726" w:rsidRPr="001C1F2E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r w:rsidR="005F4726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ęczne 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t>otwarcie okna– 0 pkt.</w:t>
            </w:r>
            <w:r w:rsidR="006A2614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drukowania krzywych, raportów, na podłączonej do sieci centralnego monitorowania tradycyjnej drukarce laserowej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Sposób montażu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W ofercie do każdego monitora uchwyt montażowy do ściany, umożliwiający przynajmniej obrót, nachylenie i zmianę wysokości monitora. </w:t>
            </w:r>
            <w:r w:rsidRPr="006A2614">
              <w:rPr>
                <w:rFonts w:ascii="Arial Narrow" w:hAnsi="Arial Narrow" w:cs="Calibri"/>
                <w:color w:val="000000"/>
                <w:sz w:val="22"/>
                <w:szCs w:val="22"/>
              </w:rPr>
              <w:t>Dostępne uchwyty montażowe monitora: do kolumny medycznej, na podstawie jezdne</w:t>
            </w:r>
            <w:r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>j</w:t>
            </w:r>
            <w:r w:rsidR="00196445"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Dodatkowo na całą instalację 2 uchwyty do montażu modułu transportowego do ramy łóżka</w:t>
            </w:r>
            <w:r w:rsidR="00CB523B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Monitor stacjonarny</w:t>
            </w:r>
            <w:r w:rsidR="00C369C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– 13 szt.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Monitor wyposażony w dotykowy ekran o przekątnej min. 15" i rozdzielczości min. 1024 x 768 pikseli. Umożliwia wyświetlanie przynajmniej </w:t>
            </w:r>
            <w:r w:rsidR="00C33BF0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12</w:t>
            </w:r>
            <w:r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krzywych dynamicznych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jednocześnie i pełną obsługę funkcji monitorowania pacjenta. Nie dopuszcza się realizacji tej funkcjonalności z wykorzystaniem zewnętrznego, dodatkowego ekranu lub innych rozwiązań zależnych od funkcjonowania sieci informatycznej</w:t>
            </w:r>
            <w:r w:rsidR="00CB523B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33BF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14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>Obsługa kardiomo</w:t>
            </w:r>
            <w:r w:rsidR="00F846EE"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nitora poprzez ekran dotykowy, </w:t>
            </w:r>
            <w:r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>pokrętło</w:t>
            </w:r>
            <w:r w:rsidR="00F846EE"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lub poprzez ekran dotykowy</w:t>
            </w:r>
            <w:r w:rsidRPr="00196445">
              <w:rPr>
                <w:rFonts w:ascii="Arial Narrow" w:hAnsi="Arial Narrow" w:cs="Calibri"/>
                <w:color w:val="000000"/>
                <w:sz w:val="22"/>
                <w:szCs w:val="22"/>
              </w:rPr>
              <w:t>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330E4D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Obsługa kardiomonitora poprzez e</w:t>
            </w:r>
            <w:r w:rsidR="00C35B74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kran dotykowy, pokrętło: TAK </w:t>
            </w:r>
            <w:r w:rsidR="00902124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– 4</w:t>
            </w: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 pkt.</w:t>
            </w: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wyboru spośród przynajmniej 16 różnych układów (widoków) ekranu, z możliwością edycji i zapisu przynajmniej 6 z nich</w:t>
            </w:r>
            <w:r w:rsidR="00C369C4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Moduł transportowy</w:t>
            </w:r>
            <w:r w:rsidR="00C369C4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– 13 szt.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wyposażony we wbudowany ekr</w:t>
            </w:r>
            <w:r w:rsidR="00F846EE">
              <w:rPr>
                <w:rFonts w:ascii="Arial Narrow" w:hAnsi="Arial Narrow" w:cs="Calibri"/>
                <w:color w:val="000000"/>
                <w:sz w:val="22"/>
                <w:szCs w:val="22"/>
              </w:rPr>
              <w:t>an o przekątnej przynajmniej 5,5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” z funkcją automatycznego dostosowania wyświetlania do położenia monitora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33BF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33BF0">
              <w:rPr>
                <w:rFonts w:ascii="Arial Narrow" w:hAnsi="Arial Narrow" w:cs="Calibri"/>
                <w:color w:val="000000"/>
                <w:sz w:val="22"/>
                <w:szCs w:val="22"/>
              </w:rPr>
              <w:t>Przekątna ekranu modułu transportowego ≥ 7”.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Interfejs użytkownika modułu transportowego tożsamy</w:t>
            </w:r>
            <w:r w:rsidR="00C33BF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z monitorem stacjonarnym</w:t>
            </w:r>
            <w:r w:rsidR="00C33BF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</w:t>
            </w:r>
            <w:r w:rsidR="00C33BF0"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takie samo umiejscowienie przycisków ekranowych, wygląd i nawigacja po menu, itp.</w:t>
            </w:r>
            <w:r w:rsidR="00C33BF0">
              <w:rPr>
                <w:rFonts w:ascii="Arial Narrow" w:hAnsi="Arial Narrow" w:cs="Calibr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90212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TAK– 4</w:t>
            </w:r>
            <w:r w:rsidR="00F846EE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 pkt.</w:t>
            </w:r>
            <w:r w:rsidR="00C33BF0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NIE – 0 pkt.</w:t>
            </w:r>
            <w:r w:rsidR="00F846EE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umożliwia jednoczesną prezentację przynajmniej 3 krzywych dynamicznych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konfiguracji przynajmniej 2 widoków ekranu modułu transportowego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wyposażony we wbudowane zasilanie akumulatorowe na przynajmniej 4 godziny pracy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Wskaźnik poziomu naładowania monitora bezpośrednio na akumulatorze</w:t>
            </w:r>
            <w:r w:rsidRPr="002134E7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. </w:t>
            </w:r>
            <w:r w:rsidR="002134E7" w:rsidRPr="002134E7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3BF0" w:rsidRPr="00B06EDF" w:rsidRDefault="00B16387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16387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6387" w:rsidRPr="00B06EDF" w:rsidRDefault="00B16387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6387" w:rsidRPr="00C407A0" w:rsidRDefault="00B16387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2134E7">
              <w:rPr>
                <w:rFonts w:ascii="Arial Narrow" w:hAnsi="Arial Narrow" w:cs="Calibri"/>
                <w:color w:val="000000"/>
                <w:sz w:val="22"/>
                <w:szCs w:val="22"/>
              </w:rPr>
              <w:t>Akumulator wymienny przez użytkownika bez użycia narzędzi.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6387" w:rsidRPr="001C1F2E" w:rsidRDefault="00C35B74" w:rsidP="005F472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2</w:t>
            </w:r>
            <w:r w:rsidR="00B16387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  <w:r w:rsidR="00B16387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- 0 pkt.</w:t>
            </w:r>
          </w:p>
          <w:p w:rsidR="00B16387" w:rsidRDefault="00B16387" w:rsidP="001C1F2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6387" w:rsidRPr="002134E7" w:rsidRDefault="00B16387" w:rsidP="005F4726">
            <w:pPr>
              <w:ind w:left="36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przystosowany do warunków transportowych, odporny na upadek z wysokości przynajmniej 1m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przystosowany do warunków transportowych, klasa odporności na zachlapanie wodą nie gorsza niż IPX</w:t>
            </w:r>
            <w:r w:rsidR="002134E7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przystosowany do warunków transportowych, posiada wbudowany</w:t>
            </w:r>
            <w:r w:rsidR="004125C3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lub nie wbudowany (zewnętrzny)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uchwyt – </w:t>
            </w:r>
            <w:r w:rsidR="00D710A5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rączkę lub posiada wyprofilowany </w:t>
            </w:r>
            <w:proofErr w:type="gramStart"/>
            <w:r w:rsidR="00D710A5">
              <w:rPr>
                <w:rFonts w:ascii="Arial Narrow" w:hAnsi="Arial Narrow" w:cs="Calibri"/>
                <w:color w:val="000000"/>
                <w:sz w:val="22"/>
                <w:szCs w:val="22"/>
              </w:rPr>
              <w:t>kształt  na</w:t>
            </w:r>
            <w:proofErr w:type="gramEnd"/>
            <w:r w:rsidR="00D710A5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obudowie </w:t>
            </w:r>
            <w:r w:rsidR="00AA3384">
              <w:rPr>
                <w:rFonts w:ascii="Arial Narrow" w:hAnsi="Arial Narrow" w:cs="Calibri"/>
                <w:color w:val="000000"/>
                <w:sz w:val="22"/>
                <w:szCs w:val="22"/>
              </w:rPr>
              <w:t>umożliwiając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</w:t>
            </w:r>
            <w:r w:rsidR="00AA3384">
              <w:rPr>
                <w:rFonts w:ascii="Arial Narrow" w:hAnsi="Arial Narrow" w:cs="Calibri"/>
                <w:color w:val="000000"/>
                <w:sz w:val="22"/>
                <w:szCs w:val="22"/>
              </w:rPr>
              <w:t>ełne objęcie dłonią, ułatwiając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przenoszenie, bez konieczności demontażu na czas zadokowania modułu do pracy na stanowisku.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827321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827321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Masa modułu transportowego wraz z wbudowanym ekranem oraz akumulatorem poniżej 2kg</w:t>
            </w:r>
            <w:r w:rsidR="00E15ED6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umożliwia kontynuację monitorowania w czasie transportu przynajmniej następujących parametrów (zgodnie z ich wymogami opisanymi w dalszej części specyfikacji): EKG, SpO2, NIBP</w:t>
            </w:r>
            <w:r w:rsidR="0002216E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, 1</w:t>
            </w:r>
            <w:r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x Temp., 2x IBP, z możliwością rozbudowy o </w:t>
            </w:r>
            <w:proofErr w:type="gramStart"/>
            <w:r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pomiar CO</w:t>
            </w:r>
            <w:proofErr w:type="gramEnd"/>
            <w:r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2 w strumieniu bocznym. Dostępność parametrów zależna wyłącznie od podłączonych akcesoriów pomiarowych</w:t>
            </w:r>
            <w:r w:rsidR="00AA3384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 transportowy zapewnia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Moduły pomiarowe podłączane do monitora transportowego</w:t>
            </w:r>
            <w:r w:rsidR="00B570E8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="00B570E8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za pośrednictwem dedykowanych przewodów.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Monitorowane parametry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EKG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monitorowania 12 odprowadzeń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Jednoczesna prezentacja przynajmniej 3 odprowadzeń EKG na ekranie głównym kardiomonitora (bez wykorzystania okna 12 odprowadzeń EKG): 3 różne odprowadzenia lub widok kaskady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jednoczesnej prezentacji wszystkich 12 odprowadzeń EKG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Pomiar częstości akcji serca w zakresie </w:t>
            </w:r>
            <w:r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min. 20 - 300 ud/min.</w:t>
            </w:r>
            <w:r w:rsidR="00B570E8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8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1C1F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Oferowane monitory umożliwiają pomiar i opisową analizę EKG spoczynkowego z 12-odprowadzeń. Funkcja analizy dostępna jednocześnie w każdym kardiomonitorze.</w:t>
            </w:r>
            <w:r w:rsidR="00B570E8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="00B570E8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Dopuszcza się pomiar i opisową analizę EKG spoczynkowego</w:t>
            </w:r>
            <w:r w:rsid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="00B570E8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z 12-odprowadzeń realizowaną w centrali pielęgniarskiej</w:t>
            </w:r>
            <w:r w:rsidR="0002216E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="00B570E8" w:rsidRPr="0002216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0E4D" w:rsidRPr="001C1F2E" w:rsidRDefault="000E2C21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Analiza dostępna w kardiomonitorze</w:t>
            </w:r>
            <w:r w:rsidR="00330E4D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–</w:t>
            </w:r>
            <w:r w:rsidR="00CE58B4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2</w:t>
            </w:r>
            <w:r w:rsidR="00330E4D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  <w:r w:rsidR="00330E4D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EKG dostępna bezpośrednio w monitorze pacjenta, zawiera kryteria specyficzne dla danej płci i wieku oraz narzędzie do niezależnej czasowo predykcji ostrego niedokrwienia serca (ACI-TIPI), z możliwością zgłaszania bólu w klatce piersiowej, eksportu pomiarów</w:t>
            </w:r>
            <w:r w:rsidR="001C1F2E">
              <w:rPr>
                <w:rFonts w:ascii="Arial Narrow" w:hAnsi="Arial Narrow" w:cs="Calibri"/>
                <w:color w:val="000000"/>
                <w:sz w:val="22"/>
                <w:szCs w:val="22"/>
              </w:rPr>
              <w:t>,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w jakości diagnostycznej (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raw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-data) do zewnętrznego systemu analizy EKG tego samego producenta</w:t>
            </w:r>
            <w:r w:rsidR="008074CE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umożliwiającego automatyczną i ręczną opisową analizę EKG, z możliwością zwrotnego wyświetlania raportów z analizy na ekranie kardiomonitora i wykonywaniem seryjnej analizy porównawczej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90212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TAK – 2</w:t>
            </w:r>
            <w:r w:rsidR="00316054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 pkt.</w:t>
            </w:r>
            <w:r w:rsidR="00316054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NIE – 0 pkt</w:t>
            </w:r>
            <w:r w:rsidR="008074CE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.</w:t>
            </w:r>
            <w:r w:rsidR="008074CE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monitora: przewód do podłączenia 6- elektrod dla dorosłych i dzieci. Dodatkowo na całą instalację 3 zestawy przewodów do diagnostycznego monitorowania 12-odprowadzeń EKG. Długość przewodów łączących monitor z pacjentem przynajmniej</w:t>
            </w:r>
            <w:r w:rsidR="000E2C21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="008074CE" w:rsidRPr="000E2C21">
              <w:rPr>
                <w:rFonts w:ascii="Arial Narrow" w:hAnsi="Arial Narrow" w:cs="Calibri"/>
                <w:color w:val="000000"/>
                <w:sz w:val="22"/>
                <w:szCs w:val="22"/>
              </w:rPr>
              <w:t>3m</w:t>
            </w:r>
            <w:r w:rsidR="000E2C21" w:rsidRPr="000E2C21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arytmii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arytmii w 2 odprowadzeniach EKG jednocześnie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B22F5B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22F5B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22F5B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B22F5B">
              <w:rPr>
                <w:rFonts w:ascii="Arial Narrow" w:hAnsi="Arial Narrow" w:cs="Calibri"/>
                <w:color w:val="000000"/>
                <w:sz w:val="22"/>
                <w:szCs w:val="22"/>
              </w:rPr>
              <w:t>Analiza arytmii w przynajmniej 4</w:t>
            </w:r>
            <w:r w:rsidR="008074CE" w:rsidRPr="00B22F5B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B22F5B">
              <w:rPr>
                <w:rFonts w:ascii="Arial Narrow" w:hAnsi="Arial Narrow" w:cs="Calibri"/>
                <w:color w:val="000000"/>
                <w:sz w:val="22"/>
                <w:szCs w:val="22"/>
              </w:rPr>
              <w:t>odprowadzeniach EKG jednocześnie</w:t>
            </w:r>
            <w:r w:rsidR="008074CE" w:rsidRPr="00B22F5B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402CD0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TAK – 2</w:t>
            </w:r>
            <w:r w:rsidR="00F84A96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 </w:t>
            </w:r>
            <w:r w:rsidR="00B22F5B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pkt.</w:t>
            </w:r>
            <w:r w:rsidR="00B22F5B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NIE – 0 pkt.</w:t>
            </w:r>
            <w:r w:rsidR="00B22F5B"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Zaawansowana analiza arytmii wg przynajmniej 12 definicji.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ST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odcinka ST we wszystkich odprowadzeniach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Zakres pomiarowy analizy odcinka ST min. -15,0 -(+) 15,0 mm</w:t>
            </w:r>
            <w:r w:rsidR="000A3E94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i wyświetlenie na ek</w:t>
            </w:r>
            <w:r w:rsidR="000E2C21">
              <w:rPr>
                <w:rFonts w:ascii="Arial Narrow" w:hAnsi="Arial Narrow" w:cs="Calibri"/>
                <w:color w:val="000000"/>
                <w:sz w:val="22"/>
                <w:szCs w:val="22"/>
              </w:rPr>
              <w:t>ranie monitora wartości QT i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QTc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. </w:t>
            </w:r>
            <w:r w:rsidR="00D710A5">
              <w:rPr>
                <w:rFonts w:ascii="Arial Narrow" w:hAnsi="Arial Narrow" w:cs="Calibri"/>
                <w:color w:val="000000"/>
                <w:sz w:val="22"/>
                <w:szCs w:val="22"/>
              </w:rPr>
              <w:t>Do wyboru przez użytkownika.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C407A0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</w:t>
            </w:r>
            <w:r w:rsidR="00902124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– 1</w:t>
            </w:r>
            <w:r w:rsidR="000A3E94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  <w:r w:rsidR="000A3E94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="000A3E94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Oddech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częstości oddechu metodą impedancyjną w zakresie min. 4-120 odd/min.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Prezentacja częstości oddechu oraz krzywej oddechowej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zmiany odprowadzenia wykorzystywanego do pomiaru oddechu bez konieczności przepinania przewodów EKG – w celu dostosowania do pacjentów oddychających przeponą lub szczytami płuc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Saturacja (SpO2)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TruSignal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lub 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Masimorainbow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SET</w:t>
            </w:r>
            <w:r w:rsidR="003A4874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0A3E9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Pomiar saturacji w zakresie </w:t>
            </w:r>
            <w:r w:rsidRPr="000E2C21">
              <w:rPr>
                <w:rFonts w:ascii="Arial Narrow" w:hAnsi="Arial Narrow" w:cs="Calibri"/>
                <w:color w:val="000000"/>
                <w:sz w:val="22"/>
                <w:szCs w:val="22"/>
              </w:rPr>
              <w:t>min.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70-100%</w:t>
            </w:r>
            <w:r w:rsidR="00EF2791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Prezentacja wartości saturacji, krzywej 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pletyzmograficznej</w:t>
            </w:r>
            <w:proofErr w:type="spellEnd"/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wyboru SPO2</w:t>
            </w:r>
            <w:r w:rsidR="001C1F2E">
              <w:rPr>
                <w:rFonts w:ascii="Arial Narrow" w:hAnsi="Arial Narrow" w:cs="Calibri"/>
                <w:color w:val="000000"/>
                <w:sz w:val="22"/>
                <w:szCs w:val="22"/>
              </w:rPr>
              <w:t>,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jako źródła częstości rytmu serca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Modulacja dźwięku tętna przy zmianie wartości % SpO2.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monitora: przewód podłączeniowy dł. min. 3m oraz wielorazowy, elastyczny, czujnik na palec dla dorosłych</w:t>
            </w:r>
            <w:r w:rsidR="003A4874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.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Oryginalne akcesoria pomiarowe producenta algorytmu pomiarowego.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ciśnienia metodą nieinwazyjną (NIBP)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metodą oscylometryczną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Algorytm pomiarowy wykorzystuje </w:t>
            </w:r>
            <w:r w:rsidR="00192A5B" w:rsidRPr="006807FF">
              <w:rPr>
                <w:rFonts w:ascii="Arial Narrow" w:hAnsi="Arial Narrow" w:cs="Calibri"/>
                <w:color w:val="000000"/>
                <w:sz w:val="22"/>
                <w:szCs w:val="22"/>
              </w:rPr>
              <w:t>jednotubowy lub</w:t>
            </w:r>
            <w:r w:rsidR="00192A5B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dwutubowy systemem wężyków i mankietów</w:t>
            </w:r>
            <w:r w:rsidR="000E5CA7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0E5CA7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TAK</w:t>
            </w:r>
            <w:r w:rsidR="00192A5B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402CD0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ręczny na żądanie, ciągły przez określony czas oraz automatyczny. Zakres przedziałów czasowych w trybie automatycznym przynajmniej 1 - 240 minut</w:t>
            </w:r>
            <w:r w:rsidR="006807FF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ciśnienia w zakresie przynajmniej od 15 mmHg dla ciśnienia rozkurczowego do 250 mmHg dla ciśnienia skurczowego</w:t>
            </w:r>
            <w:r w:rsidR="006807FF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Prezentacja wartości: skurczowej, rozkurczowej oraz średniej.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monitora: wężyk z sz</w:t>
            </w:r>
            <w:r w:rsidR="00D710A5">
              <w:rPr>
                <w:rFonts w:ascii="Arial Narrow" w:hAnsi="Arial Narrow" w:cs="Calibri"/>
                <w:color w:val="000000"/>
                <w:sz w:val="22"/>
                <w:szCs w:val="22"/>
              </w:rPr>
              <w:t>ybkozłączką dla dorosłych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oraz 3 mankiety wielorazowe dla dorosłych (w 3 różnych rozmiarach). Dodatkowo na całą instalację 20 szt. mankietów dla pacjentów otyłych.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Temperatura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sz w:val="22"/>
                <w:szCs w:val="22"/>
              </w:rPr>
              <w:t xml:space="preserve">Pomiar temperatury w </w:t>
            </w:r>
            <w:r w:rsidR="00196445" w:rsidRPr="00196445">
              <w:rPr>
                <w:rFonts w:ascii="Arial Narrow" w:hAnsi="Arial Narrow" w:cs="Calibri"/>
                <w:sz w:val="22"/>
                <w:szCs w:val="22"/>
              </w:rPr>
              <w:t>1</w:t>
            </w:r>
            <w:r w:rsidRPr="00196445">
              <w:rPr>
                <w:rFonts w:ascii="Arial Narrow" w:hAnsi="Arial Narrow" w:cs="Calibri"/>
                <w:sz w:val="22"/>
                <w:szCs w:val="22"/>
              </w:rPr>
              <w:t xml:space="preserve"> kana</w:t>
            </w:r>
            <w:r w:rsidR="00196445" w:rsidRPr="00196445">
              <w:rPr>
                <w:rFonts w:ascii="Arial Narrow" w:hAnsi="Arial Narrow" w:cs="Calibri"/>
                <w:sz w:val="22"/>
                <w:szCs w:val="22"/>
              </w:rPr>
              <w:t>le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sz w:val="22"/>
                <w:szCs w:val="22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sz w:val="22"/>
                <w:szCs w:val="22"/>
              </w:rPr>
              <w:t>Możliwość ustawienia etykiet temperatur wg. miejsca pomiaru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sz w:val="22"/>
                <w:szCs w:val="22"/>
              </w:rPr>
              <w:t>W komplecie do każdego monitora: wielorazowy czujnik temperatury skóry dla dorosłych/dzieci. Dodatkowo na całą instalację 4 czujniki temperatury głębokiej dla dorosłych.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sz w:val="22"/>
                <w:szCs w:val="22"/>
              </w:rPr>
              <w:t>Pomiar ciśnienia metodą inwazyjną (IBP)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96445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196445">
              <w:rPr>
                <w:rFonts w:ascii="Arial Narrow" w:hAnsi="Arial Narrow" w:cs="Calibri"/>
                <w:sz w:val="22"/>
                <w:szCs w:val="22"/>
              </w:rPr>
              <w:t>Pomiar ciśnienia metodą inwazyjną</w:t>
            </w:r>
            <w:r w:rsidRPr="00075FFF">
              <w:rPr>
                <w:rFonts w:ascii="Arial Narrow" w:hAnsi="Arial Narrow" w:cs="Calibri"/>
                <w:sz w:val="22"/>
                <w:szCs w:val="22"/>
              </w:rPr>
              <w:t xml:space="preserve"> w</w:t>
            </w:r>
            <w:r w:rsidRPr="00196445">
              <w:rPr>
                <w:rFonts w:ascii="Arial Narrow" w:hAnsi="Arial Narrow" w:cs="Calibri"/>
                <w:b/>
                <w:sz w:val="22"/>
                <w:szCs w:val="22"/>
              </w:rPr>
              <w:t xml:space="preserve"> </w:t>
            </w:r>
            <w:r w:rsidR="00D710A5">
              <w:rPr>
                <w:rFonts w:ascii="Arial Narrow" w:hAnsi="Arial Narrow" w:cs="Calibri"/>
                <w:sz w:val="22"/>
                <w:szCs w:val="22"/>
              </w:rPr>
              <w:t>2 kanałach</w:t>
            </w:r>
            <w:r w:rsidR="00196445" w:rsidRPr="00196445">
              <w:rPr>
                <w:rFonts w:ascii="Arial Narrow" w:hAnsi="Arial Narrow" w:cs="Calibri"/>
                <w:sz w:val="22"/>
                <w:szCs w:val="22"/>
              </w:rPr>
              <w:t>.</w:t>
            </w:r>
            <w:r w:rsidRPr="00196445">
              <w:rPr>
                <w:rFonts w:ascii="Arial Narrow" w:hAnsi="Arial Narrow" w:cs="Calibri"/>
                <w:sz w:val="22"/>
                <w:szCs w:val="22"/>
              </w:rPr>
              <w:t xml:space="preserve"> Możliwość rozbudowy każdego monitora o pomiar IBP w przynajmniej 4 kanałach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ciśnienia w zakresie przynajmniej -20 do 320 mmHg</w:t>
            </w:r>
            <w:r w:rsidR="00192A5B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SPV lub PPV ręczny</w:t>
            </w:r>
            <w:r w:rsidR="006807FF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192A5B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pomiaru i jednoczesnej prezentacji na ekranie głównym kardiomonitora parametrów PPV i SPV automatycznie, z wybranego kanału ciśnienia.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1C1F2E" w:rsidRDefault="00402CD0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2</w:t>
            </w:r>
            <w:r w:rsidR="00C56839" w:rsidRPr="001C1F2E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  <w:r w:rsidR="00C56839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="00C56839"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Pomiar </w:t>
            </w:r>
            <w:proofErr w:type="gram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kapnografii (CO</w:t>
            </w:r>
            <w:proofErr w:type="gram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2) </w:t>
            </w:r>
            <w:r w:rsidR="006807FF" w:rsidRPr="006807FF">
              <w:rPr>
                <w:rFonts w:ascii="Arial Narrow" w:hAnsi="Arial Narrow" w:cs="Calibri"/>
                <w:sz w:val="22"/>
                <w:szCs w:val="22"/>
              </w:rPr>
              <w:t>- 4</w:t>
            </w:r>
            <w:r w:rsidRPr="006807FF">
              <w:rPr>
                <w:rFonts w:ascii="Arial Narrow" w:hAnsi="Arial Narrow" w:cs="Calibri"/>
                <w:sz w:val="22"/>
                <w:szCs w:val="22"/>
              </w:rPr>
              <w:t xml:space="preserve"> sztuki</w:t>
            </w:r>
            <w:r w:rsidR="00CC7B17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stężenia dwutlenku węgla w wydychanym powietrzu metodą strumienia bocznego, u pacjentów zaintubowanych i niezaintubowanych, dostępny stacjonarnie</w:t>
            </w:r>
            <w:r w:rsidR="00E806BD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monitora komplet 10 akcesoriów jednorazowych do pomiaru u pacjentów zaintubowanych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407A0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C407A0" w:rsidRDefault="00C407A0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Ciągły pomiar </w:t>
            </w:r>
            <w:r w:rsidR="006807F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rzutu minutowego serca </w:t>
            </w:r>
            <w:r w:rsidR="00654B81">
              <w:rPr>
                <w:rFonts w:ascii="Arial Narrow" w:hAnsi="Arial Narrow" w:cs="Calibri"/>
                <w:color w:val="000000"/>
                <w:sz w:val="22"/>
                <w:szCs w:val="22"/>
              </w:rPr>
              <w:t>(CCO) - 2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sztuki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07A0" w:rsidRPr="00B06EDF" w:rsidRDefault="00C407A0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Ciągły pomiar rzutu minutowego serca metodą analizy kształtu fali ciśnienia tętniczego, kalibrowany metodą termodylucji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przez płucnej.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  <w:r w:rsidR="000A1978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lub z wykorzystaniem zewnętrznego urządzenia podłączanego do oferowanego kardiomonitora zapewniającego prezentację mierzonych parametrów na ekranie kardiomonitora, zapisywanie ich w pamięci trendów i przesyłanie dalej do systemu centralnego monitorowania.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Prezentacja danych na ekranie kardiomonitora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1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modułu/urządzenia zewnętrznego zestaw przewodów do podłączania akcesoriów jednorazowych do pomiaru rzutu minutowego. W przypadku urządzenia zewnętrznego dodatkowo podstawy jezdne oraz zestawy interfejsów zapewniające połączenie z kardiomonitorem.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Możliwości rozbudowy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rozbudowy o pomiar wydatku energetycznego pacjenta metodą kalorymetrii pośredniej z wykorzystaniem paramagnetycznego czujnika tlenu niewymagającego kalibracji przed każdym pomiarem, z obrazowaniem parametrów: VO2, VCO2, VO2/m2, VCO2/m2, VO2/kg, VCO2/kg, EE i RQ.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1C1F2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 – 1 pkt.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NIE – 0 pkt.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rozbudowy o pomiar rzutu minutowego serca metodą termodylucji z wykorzystaniem cewnika Swan-Ganz’a z możliwością pomiaru ciśnienia zaklinowania tętnicy płucnej, saturacji krwi żylnej mieszanej SvO2 i saturacji krwi w żyle głównej górnej ScvO2.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1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Alarmy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zmiany priorytetu alarmów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Alarmy techniczne z podaniem przyczyny.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Możliwość wyciszenia alarmów.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zablokowania funkcji całkowitego wyłączenia i wyciszenia alarmów - zabezpieczona hasłem.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2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Trendy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monitorowania pacjenta wyposażone w pamięć trendów z ostatnich min. 72 godzin z rozdzielczością 1-minutową.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wyświetlania trendów w formie graficznej i tabelarycznej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Inne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 wyposażony w funkcję obliczeń hemodynamicznych, utlenowania oraz wentylacji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Kalkulator dawek leków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Możliwość zdalnego dostępu do kardiomonitorów w celach serwisowych: wstępnej diagnostyki monitora i podłączonych modułów, zmiany ustawień, wgrywania licencji, itp.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1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779CD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sz w:val="22"/>
                <w:szCs w:val="22"/>
              </w:rPr>
              <w:t>Centrala pielęgniarska – 2 kpl</w:t>
            </w:r>
            <w:r w:rsidRPr="00C779CD">
              <w:rPr>
                <w:rFonts w:ascii="Arial Narrow" w:hAnsi="Arial Narrow" w:cs="Arial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Opis ogólny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181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w formie komputera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:</w:t>
            </w:r>
          </w:p>
          <w:p w:rsidR="00CE58B4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1.  Stanowisko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centralnego monitorowania w formie komputera 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typu </w:t>
            </w:r>
            <w:proofErr w:type="spellStart"/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All</w:t>
            </w:r>
            <w:proofErr w:type="spellEnd"/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-in-One, zamknięty w obudowie ekranu dotykowego,</w:t>
            </w:r>
          </w:p>
          <w:p w:rsidR="00CE58B4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lub</w:t>
            </w:r>
            <w:proofErr w:type="gramEnd"/>
          </w:p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Stanowisko centralnego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monitorowania w formie komputera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PC (stacjonarny): monitor z ekranem dotykowym z jednostką centralną.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 xml:space="preserve">Stanowisko centralnego monitorowania w formie komputera typu </w:t>
            </w:r>
            <w:proofErr w:type="spellStart"/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All</w:t>
            </w:r>
            <w:proofErr w:type="spellEnd"/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t>-in-One, zamknięty w obudowie ekranu dotykowego – 2 pkt.</w:t>
            </w:r>
            <w:r w:rsidRPr="001C1F2E">
              <w:rPr>
                <w:rFonts w:ascii="Arial Narrow" w:hAnsi="Arial Narrow" w:cs="Calibri"/>
                <w:b/>
                <w:color w:val="000000"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ia w formie komputera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klasy medycznej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5F472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E58B4" w:rsidRPr="001C1F2E" w:rsidRDefault="00CE58B4" w:rsidP="005F472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Komputer klasy medycznej – 1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Komputer klasy niemedycznej – 0 pkt.</w:t>
            </w:r>
          </w:p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Komputer i oprogramowanie tego samego wytwórcy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1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wyposażone w awaryjne podtrzymanie zasilania na przynajmniej 20 minut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779CD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779CD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779CD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wyposażone:</w:t>
            </w:r>
          </w:p>
          <w:p w:rsidR="00CE58B4" w:rsidRPr="00C779CD" w:rsidRDefault="00CE58B4" w:rsidP="005F4726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C779CD">
              <w:rPr>
                <w:rFonts w:ascii="Arial Narrow" w:hAnsi="Arial Narrow" w:cs="Calibri"/>
                <w:color w:val="000000"/>
                <w:sz w:val="22"/>
                <w:szCs w:val="22"/>
              </w:rPr>
              <w:t>1 szt. - 2 ekrany</w:t>
            </w:r>
          </w:p>
          <w:p w:rsidR="00CE58B4" w:rsidRPr="00C779CD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79CD">
              <w:rPr>
                <w:rFonts w:ascii="Arial Narrow" w:hAnsi="Arial Narrow" w:cs="Calibri"/>
                <w:color w:val="000000"/>
                <w:sz w:val="22"/>
                <w:szCs w:val="22"/>
              </w:rPr>
              <w:t>1 szt. – 1 ekran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779CD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79C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Ekrany stanowiska centralnego monitorowania LCD lub LED, dotykowe, pano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ramiczne, o przekątnej min. 21"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. Rozdzielczość przynajmniej 1680x1050 pikseli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Sterowanie funkcjami centrali poprzez mysz i klawiaturę USB, a także ekrany dotykowe.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Opis funkcjonalny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zapewnia jednoczesny podgląd przynajmniej 16 pacjentów (oferowanych kardiomonitorów i nadajników telemetrycznych).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zapewnia jednoczesny podgląd min. 2 krzywych dynamicznych dla każdego monitorowanego pacjenta, na ekranie zbiorczego podglądu pacjentów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Stanowisko centralnego monitorowania umożliwia szczegółowy podgląd wybranego pacjenta: mierzone krzywe dynamiczne i skojarzone parametry, szczegółowy podgląd danych archiwalnych: trendów tablicowych, graficznych, pełnych przebiegów krzywych dynamicznych (Full 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Disclosure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) oraz historii zdarzeń alarmowych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Podgląd w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ybranego pacjenta realizowany minimum na połowie ekranu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jednego z ekranów centrali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umożliwia podgląd min. 72 godzin trendów dla każdego pacjenta. Trendy tabelaryczne oraz graficzne.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wyposażone we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wbudowaną pamięć pełnych przebiegów krzywych dynamicznych (Full </w:t>
            </w:r>
            <w:proofErr w:type="spellStart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Disclosure</w:t>
            </w:r>
            <w:proofErr w:type="spellEnd"/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): min. 120 godzin przynajmniej 12-tu krzywych dynamicznych (nie tylko EKG) dla każdego pacjenta.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umożliwia wykonywanie szczegółowych pomiarów krzywych dynamicznych (w tym zespołów QRS, odchylenia ST) z wykorzystaniem ekranowego narzędzia (np. suwmiarki).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wyposażone we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wbudowaną pamięć zdarzeń alarmowych: min. 1000 zdarzeń na każdego monitorowanego pacjenta.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zapewnia wyświetlanie alarmów ze wszystkich monitorowanych łóżek. Alarmy przynajmniej 3-stopniowe, rozróżniane wizualnie i dźwiękowo, z identyfikacją alarmującego łóżka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umożliwia konfigurację granic alarmowych, a także wyciszanie bieżących stanów alarmowych w monitorach pacjenta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umożliwia zdalne przyjmowanie pacjenta w kardiomonitorze poprzez wprowadzenie jego danych demograficznych za pośrednictwem klawiatury. Wprowadzenie danych w centrali powoduje ich aktualizację na ekranie kardiomonitora.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System centralnego monitorowania umożliwia rozbudowę o funkcję pobierania danych demograficznych pacjenta ze szpitalnego systemu informatycznego (HIS), za pośrednictwem protokołu HL7, w celu uproszczenia procesu przyjęcia.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Stanowisko centralnego monitorowania umożliwia drukowanie raportów, trendów i zapisów za pomocą sieciowej drukarki laserowej. W ofercie ujęta drukarka sieciowa kompatybilna z centralą oraz oferowanymi kardiomonitorami – 1 szt. na całą instalację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System centralnego monitorowania umożliwia rozbudowę o funkcję wysyłania parametrów życiowych monitorowanych przez oferowane kardiomonitory do szpitalnego systemu informatycznego, za pośrednictwem protokołu HL7, w celu ich archiwizacji.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System centralnego monitorowania umożliwia rozbudowę o zdalny podgląd monitorowanych pacjentów w czasie zbliżonym do rzeczywistego, za pośrednictwem komputerów PC z systemem Windows podłączonych do sieci informatycznej szpitala. Dostępny podgląd bieżących wartości parametrów, podgląd krzywych dynamicznych, a także trendów tabelarycznych.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System centralnego monitorowania umożliwia wyświetlanie na ekranie centrali danych z urządzeń (min. respiratory, aparaty do znieczulania) podłączonych do oferowanych kardiomonitorów. Dane wyświetlane w formie przynajmniej: liczbowej oraz krzywych dynamicznych, zapisywane w pamięci centrali.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na całą instalację 1 stanowisko komputerowe umożliwiające podgląd parametrów życiowych pacjentów, analizę danych archiwalnych i pomiary zespołów QRS w dyżurce lekarskiej.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Ekran minimum 21 cali.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582386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82386">
              <w:rPr>
                <w:rFonts w:ascii="Arial Narrow" w:hAnsi="Arial Narrow" w:cs="Arial"/>
                <w:i/>
                <w:sz w:val="22"/>
                <w:szCs w:val="22"/>
              </w:rPr>
              <w:t>System monitorowania telemetrycznego – 1 szt.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Opis ogólny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Nadajnik telemetryczny - 10 szt., z funkcją monitorowania EKG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Masa nadajnika nie przekracza </w:t>
            </w:r>
            <w:r w:rsidRPr="00CE7F06">
              <w:rPr>
                <w:rFonts w:ascii="Arial Narrow" w:hAnsi="Arial Narrow" w:cs="Calibri"/>
                <w:color w:val="000000"/>
                <w:sz w:val="22"/>
                <w:szCs w:val="22"/>
              </w:rPr>
              <w:t>300 gramów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Nadajnik zasilany przez standardowe, ogólnodostępne baterie lub dedykowane akumulatory. W przypadku zasilania akumulatorowego w ofercie ujęta ładowarka umożliwiająca ładowanie akumulatorów lub całych nadajników.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Czas pracy na wbudowanym zasilaniu p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odczas monitorowania EKG, min 21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godz.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Praca na zasilaniu min. 100 godzin bez wymiany baterii/akumulatora.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2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Wskaźnik poziomu naładowania baterii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Klasa ochrony przeciwko wnikaniu wody: min IPX 7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Nadajnik odporny na upadek z wysokości min. 1 m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Możliwość pracy w temperaturze do </w:t>
            </w:r>
            <w:r w:rsidRPr="00CE7F06">
              <w:rPr>
                <w:rFonts w:ascii="Arial Narrow" w:hAnsi="Arial Narrow" w:cs="Calibri"/>
                <w:color w:val="000000"/>
                <w:sz w:val="22"/>
                <w:szCs w:val="22"/>
              </w:rPr>
              <w:t>min 37 st. C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ntena zewnętrzna </w:t>
            </w:r>
            <w:r w:rsidRPr="00CE7F06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lub antena wewnętrzna lub moduł 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wykorzystujące</w:t>
            </w: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podłączony do nadajnika zestaw przewodów do EKG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Praca w sieci centralnego monitorowania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1C1F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Nadajniki telemetryczne komunikują się z oferowaną centralą z wykorzystaniem wydzielonej sieci bezprzewodowej. W ofercie ujęta budowa stosownej infrastruktury sieciowej na obszarze ok. 1500 m2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Monitorowane parametry i alarmy wyświetlane są i sygnalizowane na ekranie oferowanej centrali systemu monitorowania pacjenta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Monitorowane parametry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EKG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Monitorowanie EKG przy użyciu przewodu do 3-, 5- lub 6 elektrod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Wskaźnik prawidłowego kontaktu elektrod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nadajnika: wielorazowy przewód do podłączenia min. 6- elektrod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Zaawansowana analiza arytmii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Wieloodprowadzeniowa analiza arytmii, zgodnie z zaleceniami AHA, w min. 4 odprowadzeniach jednocześnie. Rozpoznawanie arytmii komorowych i przedsionkowych.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1C1F2E" w:rsidRDefault="00CE58B4" w:rsidP="001C1F2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t>TAK – 3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NIE – 0 pkt.</w:t>
            </w:r>
            <w:r w:rsidRPr="001C1F2E">
              <w:rPr>
                <w:rFonts w:ascii="Arial Narrow" w:hAnsi="Arial Narrow" w:cs="Arial"/>
                <w:b/>
                <w:sz w:val="22"/>
                <w:szCs w:val="22"/>
              </w:rPr>
              <w:br/>
              <w:t>PODAĆ!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Analiza odcinka ST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70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1C1F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color w:val="000000"/>
                <w:sz w:val="22"/>
                <w:szCs w:val="22"/>
              </w:rPr>
              <w:t>W komplecie do każdego nadajnika min. 50 jednorazowych nosidełek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oraz 10 sztuk nosidełek wielorazowego użytku.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E58B4" w:rsidRPr="00A219DE" w:rsidTr="005F4726">
        <w:trPr>
          <w:cantSplit/>
          <w:trHeight w:val="66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C407A0" w:rsidRDefault="00CE58B4" w:rsidP="005F472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407A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Inne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wymagania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58B4" w:rsidRPr="00B06EDF" w:rsidRDefault="00CE58B4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val="5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0E6EB3" w:rsidRDefault="009F2A6C" w:rsidP="005F4726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330E4D" w:rsidRDefault="009F2A6C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val="5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0E6EB3" w:rsidRDefault="009F2A6C" w:rsidP="005F4726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330E4D" w:rsidRDefault="009F2A6C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val="5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0E6EB3" w:rsidRDefault="009F2A6C" w:rsidP="005F4726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5F4726">
              <w:rPr>
                <w:rFonts w:ascii="Arial Narrow" w:hAnsi="Arial Narrow" w:cs="Arial"/>
                <w:sz w:val="20"/>
                <w:szCs w:val="20"/>
              </w:rPr>
              <w:t xml:space="preserve"> (dostarczona wraz z dostawą)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330E4D" w:rsidRDefault="009F2A6C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val="5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0E6EB3" w:rsidRDefault="009F2A6C" w:rsidP="005F472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330E4D" w:rsidRDefault="009F2A6C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val="9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791535" w:rsidRDefault="009F2A6C" w:rsidP="005F4726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9F2A6C" w:rsidRPr="00791535" w:rsidRDefault="009F2A6C" w:rsidP="005F472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9F2A6C" w:rsidRPr="00791535" w:rsidRDefault="009F2A6C" w:rsidP="005F472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330E4D" w:rsidRDefault="009F2A6C" w:rsidP="005F4726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288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bookmarkStart w:id="1" w:name="_Hlk481595046"/>
          </w:p>
        </w:tc>
      </w:tr>
      <w:tr w:rsidR="009F2A6C" w:rsidRPr="00A219DE" w:rsidTr="005F4726">
        <w:trPr>
          <w:cantSplit/>
          <w:trHeight w:hRule="exact" w:val="5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 xml:space="preserve">Gwarancja – </w:t>
            </w:r>
            <w:r w:rsidR="005F4726">
              <w:rPr>
                <w:rFonts w:ascii="Arial Narrow" w:hAnsi="Arial Narrow" w:cs="Times New Roman"/>
                <w:sz w:val="22"/>
                <w:szCs w:val="22"/>
              </w:rPr>
              <w:t xml:space="preserve">min. </w:t>
            </w:r>
            <w:r w:rsidRPr="00B06EDF">
              <w:rPr>
                <w:rFonts w:ascii="Arial Narrow" w:hAnsi="Arial Narrow" w:cs="Times New Roman"/>
                <w:sz w:val="22"/>
                <w:szCs w:val="22"/>
              </w:rPr>
              <w:t>24 miesiące</w:t>
            </w:r>
            <w:r w:rsidR="005F4726">
              <w:rPr>
                <w:rFonts w:ascii="Arial Narrow" w:hAnsi="Arial Narrow" w:cs="Times New Roman"/>
                <w:sz w:val="22"/>
                <w:szCs w:val="22"/>
              </w:rPr>
              <w:t xml:space="preserve"> – max.60 miesięcy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F2A6C" w:rsidRPr="00B06EDF" w:rsidRDefault="009F2A6C" w:rsidP="005F472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7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  <w:r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72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>Czas naprawy bez użycia częśc</w:t>
            </w:r>
            <w:r>
              <w:rPr>
                <w:rFonts w:ascii="Arial Narrow" w:hAnsi="Arial Narrow" w:cs="Times New Roman"/>
                <w:sz w:val="22"/>
                <w:szCs w:val="22"/>
              </w:rPr>
              <w:t>i zamiennych (nie dłuższy niż 24</w:t>
            </w:r>
            <w:r w:rsidRPr="00B06EDF">
              <w:rPr>
                <w:rFonts w:ascii="Arial Narrow" w:hAnsi="Arial Narrow" w:cs="Times New Roman"/>
                <w:sz w:val="22"/>
                <w:szCs w:val="22"/>
              </w:rPr>
              <w:t xml:space="preserve"> h) liczony od momentu podjęcia naprawy.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5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>Czas naprawy z użyciem częśc</w:t>
            </w:r>
            <w:r>
              <w:rPr>
                <w:rFonts w:ascii="Arial Narrow" w:hAnsi="Arial Narrow" w:cs="Times New Roman"/>
                <w:sz w:val="22"/>
                <w:szCs w:val="22"/>
              </w:rPr>
              <w:t>i zamiennych (nie dłuższy niż 48</w:t>
            </w:r>
            <w:r w:rsidRPr="00B06EDF">
              <w:rPr>
                <w:rFonts w:ascii="Arial Narrow" w:hAnsi="Arial Narrow" w:cs="Times New Roman"/>
                <w:sz w:val="22"/>
                <w:szCs w:val="22"/>
              </w:rPr>
              <w:t xml:space="preserve"> h) liczony od momentu podjęcia naprawy</w:t>
            </w:r>
            <w:r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6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7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1C1F2E">
            <w:pPr>
              <w:autoSpaceDE w:val="0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Bezpłatne przeglądy okresowe w okre</w:t>
            </w:r>
            <w:r w:rsidR="001C1F2E">
              <w:rPr>
                <w:rFonts w:ascii="Arial Narrow" w:hAnsi="Arial Narrow"/>
                <w:sz w:val="22"/>
                <w:szCs w:val="22"/>
              </w:rPr>
              <w:t>sie gwarancji, min. 1 rocznie (</w:t>
            </w:r>
            <w:r w:rsidRPr="00B06EDF">
              <w:rPr>
                <w:rFonts w:ascii="Arial Narrow" w:hAnsi="Arial Narrow"/>
                <w:sz w:val="22"/>
                <w:szCs w:val="22"/>
              </w:rPr>
              <w:t>wynikające z instrukcji lub dokumentacji techniczne, warunków gwarancji).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7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7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</w:rPr>
              <w:t>Czas naprawy gwarancyjnej (nie więcej niż 7 dni kalendarzowych), po przekroczeniu</w:t>
            </w:r>
            <w:r w:rsidR="001C1F2E">
              <w:rPr>
                <w:rFonts w:ascii="Arial Narrow" w:hAnsi="Arial Narrow" w:cs="Times New Roman"/>
                <w:sz w:val="22"/>
                <w:szCs w:val="22"/>
              </w:rPr>
              <w:t>,</w:t>
            </w:r>
            <w:r w:rsidRPr="00B06EDF">
              <w:rPr>
                <w:rFonts w:ascii="Arial Narrow" w:hAnsi="Arial Narrow" w:cs="Times New Roman"/>
                <w:sz w:val="22"/>
                <w:szCs w:val="22"/>
              </w:rPr>
              <w:t xml:space="preserve"> którego przedłuża się gwarancję o 3-krotny czas przerwy w eksploatacji.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F2A6C" w:rsidRPr="00A219DE" w:rsidTr="005F4726">
        <w:trPr>
          <w:cantSplit/>
          <w:trHeight w:hRule="exact" w:val="7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B06EDF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  <w:bookmarkEnd w:id="1"/>
      <w:tr w:rsidR="009F2A6C" w:rsidRPr="00A219DE" w:rsidTr="005F4726">
        <w:trPr>
          <w:cantSplit/>
          <w:trHeight w:hRule="exact" w:val="7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autoSpaceDE w:val="0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B06ED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9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TAK</w:t>
            </w:r>
          </w:p>
          <w:p w:rsidR="009F2A6C" w:rsidRPr="00B06EDF" w:rsidRDefault="009F2A6C" w:rsidP="005F472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EDF">
              <w:rPr>
                <w:rFonts w:ascii="Arial Narrow" w:hAnsi="Arial Narrow"/>
                <w:sz w:val="22"/>
                <w:szCs w:val="22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2A6C" w:rsidRPr="00B06EDF" w:rsidRDefault="009F2A6C" w:rsidP="005F4726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C4A" w:rsidRDefault="00911C4A">
      <w:r>
        <w:separator/>
      </w:r>
    </w:p>
  </w:endnote>
  <w:endnote w:type="continuationSeparator" w:id="0">
    <w:p w:rsidR="00911C4A" w:rsidRDefault="0091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A23" w:rsidRDefault="00A775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47A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47A23" w:rsidRDefault="00147A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A23" w:rsidRDefault="00A7757E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47A2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1F2E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147A23" w:rsidRPr="00A208F1" w:rsidRDefault="00147A2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C4A" w:rsidRDefault="00911C4A">
      <w:r>
        <w:rPr>
          <w:color w:val="000000"/>
        </w:rPr>
        <w:separator/>
      </w:r>
    </w:p>
  </w:footnote>
  <w:footnote w:type="continuationSeparator" w:id="0">
    <w:p w:rsidR="00911C4A" w:rsidRDefault="00911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A23" w:rsidRPr="001C1F2E" w:rsidRDefault="00147A23">
    <w:pPr>
      <w:pStyle w:val="Nagwek"/>
      <w:rPr>
        <w:rFonts w:ascii="Arial Narrow" w:hAnsi="Arial Narrow"/>
        <w:b/>
        <w:sz w:val="22"/>
      </w:rPr>
    </w:pPr>
    <w:r w:rsidRPr="001C1F2E">
      <w:rPr>
        <w:rFonts w:ascii="Arial Narrow" w:hAnsi="Arial Narrow"/>
        <w:b/>
        <w:sz w:val="22"/>
      </w:rPr>
      <w:t xml:space="preserve">Sprawa nr </w:t>
    </w:r>
    <w:r w:rsidR="001C1F2E" w:rsidRPr="001C1F2E">
      <w:rPr>
        <w:rFonts w:ascii="Arial Narrow" w:hAnsi="Arial Narrow"/>
        <w:b/>
        <w:sz w:val="22"/>
      </w:rPr>
      <w:t>29/2022</w:t>
    </w:r>
  </w:p>
  <w:p w:rsidR="001C1F2E" w:rsidRPr="001C1F2E" w:rsidRDefault="001C1F2E">
    <w:pPr>
      <w:pStyle w:val="Nagwek"/>
      <w:rPr>
        <w:rFonts w:ascii="Arial Narrow" w:hAnsi="Arial Narrow"/>
        <w:b/>
        <w:sz w:val="22"/>
      </w:rPr>
    </w:pPr>
  </w:p>
  <w:p w:rsidR="00147A23" w:rsidRPr="001C1F2E" w:rsidRDefault="00147A23" w:rsidP="001F32C3">
    <w:pPr>
      <w:pStyle w:val="Nagwek"/>
      <w:jc w:val="center"/>
      <w:rPr>
        <w:rFonts w:ascii="Arial Narrow" w:hAnsi="Arial Narrow"/>
        <w:b/>
        <w:sz w:val="22"/>
      </w:rPr>
    </w:pPr>
    <w:r w:rsidRPr="001C1F2E">
      <w:rPr>
        <w:rFonts w:ascii="Arial Narrow" w:hAnsi="Arial Narrow"/>
        <w:b/>
        <w:sz w:val="22"/>
      </w:rPr>
      <w:t>Specyfikacja</w:t>
    </w:r>
    <w:r w:rsidR="001C1F2E" w:rsidRPr="001C1F2E">
      <w:rPr>
        <w:rFonts w:ascii="Arial Narrow" w:hAnsi="Arial Narrow"/>
        <w:b/>
        <w:sz w:val="22"/>
      </w:rPr>
      <w:t xml:space="preserve"> techniczna</w:t>
    </w:r>
  </w:p>
  <w:p w:rsidR="001C1F2E" w:rsidRPr="001F32C3" w:rsidRDefault="001C1F2E" w:rsidP="001F32C3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75D8B"/>
    <w:multiLevelType w:val="hybridMultilevel"/>
    <w:tmpl w:val="BE8A5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617E3"/>
    <w:multiLevelType w:val="hybridMultilevel"/>
    <w:tmpl w:val="3EC2F73E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C48BA"/>
    <w:multiLevelType w:val="hybridMultilevel"/>
    <w:tmpl w:val="A3A46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9"/>
  </w:num>
  <w:num w:numId="12">
    <w:abstractNumId w:val="8"/>
  </w:num>
  <w:num w:numId="13">
    <w:abstractNumId w:val="4"/>
  </w:num>
  <w:num w:numId="14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FE1"/>
    <w:rsid w:val="0001039A"/>
    <w:rsid w:val="0001202F"/>
    <w:rsid w:val="00012B84"/>
    <w:rsid w:val="0001406F"/>
    <w:rsid w:val="0002216E"/>
    <w:rsid w:val="0003195B"/>
    <w:rsid w:val="00042BD6"/>
    <w:rsid w:val="000605D7"/>
    <w:rsid w:val="00062ACD"/>
    <w:rsid w:val="00066072"/>
    <w:rsid w:val="000716B2"/>
    <w:rsid w:val="00071B78"/>
    <w:rsid w:val="00071FBD"/>
    <w:rsid w:val="00075147"/>
    <w:rsid w:val="00075FFF"/>
    <w:rsid w:val="00081364"/>
    <w:rsid w:val="00086D07"/>
    <w:rsid w:val="0009155D"/>
    <w:rsid w:val="00092922"/>
    <w:rsid w:val="000A1978"/>
    <w:rsid w:val="000A3E94"/>
    <w:rsid w:val="000B05E8"/>
    <w:rsid w:val="000D195C"/>
    <w:rsid w:val="000D28A1"/>
    <w:rsid w:val="000E20EE"/>
    <w:rsid w:val="000E2C21"/>
    <w:rsid w:val="000E5CA7"/>
    <w:rsid w:val="000E6B6C"/>
    <w:rsid w:val="000F4546"/>
    <w:rsid w:val="000F60B2"/>
    <w:rsid w:val="00101BC4"/>
    <w:rsid w:val="00103474"/>
    <w:rsid w:val="0010612C"/>
    <w:rsid w:val="00107436"/>
    <w:rsid w:val="00111625"/>
    <w:rsid w:val="00121306"/>
    <w:rsid w:val="00122120"/>
    <w:rsid w:val="00124BE5"/>
    <w:rsid w:val="00140585"/>
    <w:rsid w:val="00141F81"/>
    <w:rsid w:val="00142D97"/>
    <w:rsid w:val="0014744E"/>
    <w:rsid w:val="00147A23"/>
    <w:rsid w:val="0015611B"/>
    <w:rsid w:val="001570FE"/>
    <w:rsid w:val="00161306"/>
    <w:rsid w:val="00162D76"/>
    <w:rsid w:val="0016437D"/>
    <w:rsid w:val="001659F2"/>
    <w:rsid w:val="00171AE7"/>
    <w:rsid w:val="0017560C"/>
    <w:rsid w:val="001820F3"/>
    <w:rsid w:val="00185093"/>
    <w:rsid w:val="001854FD"/>
    <w:rsid w:val="00192A5B"/>
    <w:rsid w:val="00196445"/>
    <w:rsid w:val="001A2E8F"/>
    <w:rsid w:val="001A791F"/>
    <w:rsid w:val="001B11C7"/>
    <w:rsid w:val="001B28EF"/>
    <w:rsid w:val="001C1F2E"/>
    <w:rsid w:val="001C2AD1"/>
    <w:rsid w:val="001C4037"/>
    <w:rsid w:val="001C4B69"/>
    <w:rsid w:val="001E0122"/>
    <w:rsid w:val="001E6ABE"/>
    <w:rsid w:val="001F32C3"/>
    <w:rsid w:val="001F3860"/>
    <w:rsid w:val="002000B0"/>
    <w:rsid w:val="00200D93"/>
    <w:rsid w:val="00200DA9"/>
    <w:rsid w:val="00201FC1"/>
    <w:rsid w:val="00202B00"/>
    <w:rsid w:val="00202DB9"/>
    <w:rsid w:val="002066D6"/>
    <w:rsid w:val="00211E67"/>
    <w:rsid w:val="002134E7"/>
    <w:rsid w:val="00213551"/>
    <w:rsid w:val="00213F8F"/>
    <w:rsid w:val="0021413A"/>
    <w:rsid w:val="0021421F"/>
    <w:rsid w:val="00214DC1"/>
    <w:rsid w:val="00216E70"/>
    <w:rsid w:val="002210C0"/>
    <w:rsid w:val="00223264"/>
    <w:rsid w:val="002234EB"/>
    <w:rsid w:val="00223708"/>
    <w:rsid w:val="00225A99"/>
    <w:rsid w:val="002264C5"/>
    <w:rsid w:val="00227D20"/>
    <w:rsid w:val="002335FB"/>
    <w:rsid w:val="00240D74"/>
    <w:rsid w:val="00244007"/>
    <w:rsid w:val="00253DBC"/>
    <w:rsid w:val="002569D1"/>
    <w:rsid w:val="00257C33"/>
    <w:rsid w:val="00265611"/>
    <w:rsid w:val="0027406C"/>
    <w:rsid w:val="00280845"/>
    <w:rsid w:val="002808F0"/>
    <w:rsid w:val="002811B5"/>
    <w:rsid w:val="0028385C"/>
    <w:rsid w:val="00292CC1"/>
    <w:rsid w:val="002963C6"/>
    <w:rsid w:val="002A4E6F"/>
    <w:rsid w:val="002A63BE"/>
    <w:rsid w:val="002B20A7"/>
    <w:rsid w:val="002B2CA1"/>
    <w:rsid w:val="002B2E7F"/>
    <w:rsid w:val="002B443E"/>
    <w:rsid w:val="002B6FDA"/>
    <w:rsid w:val="002C5811"/>
    <w:rsid w:val="002C70B3"/>
    <w:rsid w:val="002C740A"/>
    <w:rsid w:val="002D252B"/>
    <w:rsid w:val="002D64A8"/>
    <w:rsid w:val="002E2476"/>
    <w:rsid w:val="002E5CFA"/>
    <w:rsid w:val="002F1475"/>
    <w:rsid w:val="002F5829"/>
    <w:rsid w:val="0030565A"/>
    <w:rsid w:val="00314FDF"/>
    <w:rsid w:val="00316054"/>
    <w:rsid w:val="0032273F"/>
    <w:rsid w:val="003229A6"/>
    <w:rsid w:val="00322F6B"/>
    <w:rsid w:val="00330D47"/>
    <w:rsid w:val="00330E4D"/>
    <w:rsid w:val="00333637"/>
    <w:rsid w:val="0033398E"/>
    <w:rsid w:val="00335117"/>
    <w:rsid w:val="00336732"/>
    <w:rsid w:val="003403D8"/>
    <w:rsid w:val="003466B8"/>
    <w:rsid w:val="00347246"/>
    <w:rsid w:val="00357557"/>
    <w:rsid w:val="0036299A"/>
    <w:rsid w:val="00371282"/>
    <w:rsid w:val="00374E69"/>
    <w:rsid w:val="0037563C"/>
    <w:rsid w:val="00376F28"/>
    <w:rsid w:val="00377FEC"/>
    <w:rsid w:val="00380739"/>
    <w:rsid w:val="00387097"/>
    <w:rsid w:val="00394538"/>
    <w:rsid w:val="003A1193"/>
    <w:rsid w:val="003A4874"/>
    <w:rsid w:val="003A548A"/>
    <w:rsid w:val="003B038C"/>
    <w:rsid w:val="003B4143"/>
    <w:rsid w:val="003B4FDF"/>
    <w:rsid w:val="003B5A90"/>
    <w:rsid w:val="003C07B8"/>
    <w:rsid w:val="003C0891"/>
    <w:rsid w:val="003C1F0E"/>
    <w:rsid w:val="003C482E"/>
    <w:rsid w:val="003C5AD6"/>
    <w:rsid w:val="003D2A80"/>
    <w:rsid w:val="003E2A26"/>
    <w:rsid w:val="003E3196"/>
    <w:rsid w:val="003E3596"/>
    <w:rsid w:val="003E655F"/>
    <w:rsid w:val="003E6567"/>
    <w:rsid w:val="003F1B66"/>
    <w:rsid w:val="003F2F75"/>
    <w:rsid w:val="003F471D"/>
    <w:rsid w:val="00402CD0"/>
    <w:rsid w:val="004032AD"/>
    <w:rsid w:val="004046B2"/>
    <w:rsid w:val="004125C3"/>
    <w:rsid w:val="00417081"/>
    <w:rsid w:val="00417DA4"/>
    <w:rsid w:val="00422578"/>
    <w:rsid w:val="00437432"/>
    <w:rsid w:val="00440173"/>
    <w:rsid w:val="00445496"/>
    <w:rsid w:val="0044590F"/>
    <w:rsid w:val="00467E8F"/>
    <w:rsid w:val="004744C7"/>
    <w:rsid w:val="00477755"/>
    <w:rsid w:val="00480A82"/>
    <w:rsid w:val="0048215A"/>
    <w:rsid w:val="00490AA4"/>
    <w:rsid w:val="00493E06"/>
    <w:rsid w:val="00494BFF"/>
    <w:rsid w:val="004A02B9"/>
    <w:rsid w:val="004A053A"/>
    <w:rsid w:val="004A45A1"/>
    <w:rsid w:val="004B29F9"/>
    <w:rsid w:val="004B46CE"/>
    <w:rsid w:val="004B46E2"/>
    <w:rsid w:val="004B5132"/>
    <w:rsid w:val="004B5C02"/>
    <w:rsid w:val="004B5FCC"/>
    <w:rsid w:val="004B64D9"/>
    <w:rsid w:val="004C3AB9"/>
    <w:rsid w:val="004C6FF4"/>
    <w:rsid w:val="004D0446"/>
    <w:rsid w:val="004D1132"/>
    <w:rsid w:val="004D33B4"/>
    <w:rsid w:val="004D4DF0"/>
    <w:rsid w:val="004E1F74"/>
    <w:rsid w:val="004E5DAF"/>
    <w:rsid w:val="004F30AF"/>
    <w:rsid w:val="004F3B81"/>
    <w:rsid w:val="004F4469"/>
    <w:rsid w:val="004F5A9A"/>
    <w:rsid w:val="00501BF3"/>
    <w:rsid w:val="00503518"/>
    <w:rsid w:val="00503616"/>
    <w:rsid w:val="00505753"/>
    <w:rsid w:val="0051031F"/>
    <w:rsid w:val="0051530B"/>
    <w:rsid w:val="005277E6"/>
    <w:rsid w:val="005351FA"/>
    <w:rsid w:val="0054215E"/>
    <w:rsid w:val="00542AF0"/>
    <w:rsid w:val="005438C9"/>
    <w:rsid w:val="00543DBE"/>
    <w:rsid w:val="005528EA"/>
    <w:rsid w:val="005543CD"/>
    <w:rsid w:val="00555554"/>
    <w:rsid w:val="0055718B"/>
    <w:rsid w:val="005634B5"/>
    <w:rsid w:val="00567829"/>
    <w:rsid w:val="00572B98"/>
    <w:rsid w:val="00575AF4"/>
    <w:rsid w:val="00580271"/>
    <w:rsid w:val="00580407"/>
    <w:rsid w:val="00580921"/>
    <w:rsid w:val="00582386"/>
    <w:rsid w:val="00593DE8"/>
    <w:rsid w:val="00596CB9"/>
    <w:rsid w:val="00597084"/>
    <w:rsid w:val="005A408E"/>
    <w:rsid w:val="005B2A1C"/>
    <w:rsid w:val="005C42E4"/>
    <w:rsid w:val="005D2FDC"/>
    <w:rsid w:val="005D3D9B"/>
    <w:rsid w:val="005D4C48"/>
    <w:rsid w:val="005E5E5E"/>
    <w:rsid w:val="005E7F3A"/>
    <w:rsid w:val="005F016C"/>
    <w:rsid w:val="005F4726"/>
    <w:rsid w:val="005F66AC"/>
    <w:rsid w:val="006017F8"/>
    <w:rsid w:val="0060197A"/>
    <w:rsid w:val="006034BE"/>
    <w:rsid w:val="00607CC8"/>
    <w:rsid w:val="00612810"/>
    <w:rsid w:val="006148F5"/>
    <w:rsid w:val="00615F28"/>
    <w:rsid w:val="00616E6E"/>
    <w:rsid w:val="006219B4"/>
    <w:rsid w:val="00622E77"/>
    <w:rsid w:val="0062446B"/>
    <w:rsid w:val="006323F6"/>
    <w:rsid w:val="006336D8"/>
    <w:rsid w:val="00645BE5"/>
    <w:rsid w:val="00647998"/>
    <w:rsid w:val="006501DA"/>
    <w:rsid w:val="00650750"/>
    <w:rsid w:val="00654B81"/>
    <w:rsid w:val="006550A3"/>
    <w:rsid w:val="00660FE2"/>
    <w:rsid w:val="006617FC"/>
    <w:rsid w:val="00662B17"/>
    <w:rsid w:val="006705E4"/>
    <w:rsid w:val="006755D6"/>
    <w:rsid w:val="006807FF"/>
    <w:rsid w:val="006956B7"/>
    <w:rsid w:val="006965C8"/>
    <w:rsid w:val="0069795F"/>
    <w:rsid w:val="006A2614"/>
    <w:rsid w:val="006A39F3"/>
    <w:rsid w:val="006A41DA"/>
    <w:rsid w:val="006A67A0"/>
    <w:rsid w:val="006B0029"/>
    <w:rsid w:val="006B3920"/>
    <w:rsid w:val="006B4A13"/>
    <w:rsid w:val="006C343E"/>
    <w:rsid w:val="006D2627"/>
    <w:rsid w:val="006D38C3"/>
    <w:rsid w:val="006D4664"/>
    <w:rsid w:val="006D4FD1"/>
    <w:rsid w:val="006E161D"/>
    <w:rsid w:val="006E2360"/>
    <w:rsid w:val="006E62D8"/>
    <w:rsid w:val="006E771C"/>
    <w:rsid w:val="006F0FE7"/>
    <w:rsid w:val="006F6EE2"/>
    <w:rsid w:val="0070553C"/>
    <w:rsid w:val="00705D43"/>
    <w:rsid w:val="00725F09"/>
    <w:rsid w:val="0072623A"/>
    <w:rsid w:val="007448F6"/>
    <w:rsid w:val="007535BC"/>
    <w:rsid w:val="00754B40"/>
    <w:rsid w:val="00761384"/>
    <w:rsid w:val="007679EE"/>
    <w:rsid w:val="00774A13"/>
    <w:rsid w:val="00795386"/>
    <w:rsid w:val="0079773D"/>
    <w:rsid w:val="00797FE9"/>
    <w:rsid w:val="007A2768"/>
    <w:rsid w:val="007A39F1"/>
    <w:rsid w:val="007B13E1"/>
    <w:rsid w:val="007B3D4A"/>
    <w:rsid w:val="007C1B9B"/>
    <w:rsid w:val="007C4D04"/>
    <w:rsid w:val="007C63CB"/>
    <w:rsid w:val="007D7547"/>
    <w:rsid w:val="007E1104"/>
    <w:rsid w:val="007E4DE6"/>
    <w:rsid w:val="007E50B9"/>
    <w:rsid w:val="007F5F41"/>
    <w:rsid w:val="007F7310"/>
    <w:rsid w:val="007F7461"/>
    <w:rsid w:val="00804A39"/>
    <w:rsid w:val="00804E40"/>
    <w:rsid w:val="008074CE"/>
    <w:rsid w:val="00807BFF"/>
    <w:rsid w:val="00807E78"/>
    <w:rsid w:val="00814028"/>
    <w:rsid w:val="008224AE"/>
    <w:rsid w:val="00825C8F"/>
    <w:rsid w:val="00827321"/>
    <w:rsid w:val="0082761E"/>
    <w:rsid w:val="008406F4"/>
    <w:rsid w:val="00841416"/>
    <w:rsid w:val="008454D9"/>
    <w:rsid w:val="008508FF"/>
    <w:rsid w:val="0086643C"/>
    <w:rsid w:val="008720CB"/>
    <w:rsid w:val="00874850"/>
    <w:rsid w:val="00875D6D"/>
    <w:rsid w:val="00880D7C"/>
    <w:rsid w:val="008966F9"/>
    <w:rsid w:val="00896EA5"/>
    <w:rsid w:val="008A1595"/>
    <w:rsid w:val="008A1D49"/>
    <w:rsid w:val="008C26B5"/>
    <w:rsid w:val="008D039E"/>
    <w:rsid w:val="008D39C3"/>
    <w:rsid w:val="008D3C3A"/>
    <w:rsid w:val="008D6276"/>
    <w:rsid w:val="008E5D05"/>
    <w:rsid w:val="008F0A8F"/>
    <w:rsid w:val="008F54FC"/>
    <w:rsid w:val="008F67EB"/>
    <w:rsid w:val="008F6C90"/>
    <w:rsid w:val="0090067A"/>
    <w:rsid w:val="00901326"/>
    <w:rsid w:val="00902124"/>
    <w:rsid w:val="00903F89"/>
    <w:rsid w:val="00906345"/>
    <w:rsid w:val="00911C4A"/>
    <w:rsid w:val="0091221C"/>
    <w:rsid w:val="00915A37"/>
    <w:rsid w:val="009229C4"/>
    <w:rsid w:val="009239FB"/>
    <w:rsid w:val="0092739C"/>
    <w:rsid w:val="009325DF"/>
    <w:rsid w:val="00943B50"/>
    <w:rsid w:val="0094548D"/>
    <w:rsid w:val="00945BB4"/>
    <w:rsid w:val="00945FDE"/>
    <w:rsid w:val="0094652C"/>
    <w:rsid w:val="00956813"/>
    <w:rsid w:val="00961CE7"/>
    <w:rsid w:val="00966807"/>
    <w:rsid w:val="00966A9D"/>
    <w:rsid w:val="009708B6"/>
    <w:rsid w:val="00975DE2"/>
    <w:rsid w:val="00982AA4"/>
    <w:rsid w:val="00986F8D"/>
    <w:rsid w:val="0098786D"/>
    <w:rsid w:val="00990D2C"/>
    <w:rsid w:val="009911DD"/>
    <w:rsid w:val="00991C65"/>
    <w:rsid w:val="0099212C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C4C86"/>
    <w:rsid w:val="009D1489"/>
    <w:rsid w:val="009E70B7"/>
    <w:rsid w:val="009E7DCD"/>
    <w:rsid w:val="009F2A6C"/>
    <w:rsid w:val="009F455F"/>
    <w:rsid w:val="00A00898"/>
    <w:rsid w:val="00A12558"/>
    <w:rsid w:val="00A15DFF"/>
    <w:rsid w:val="00A208F1"/>
    <w:rsid w:val="00A219DE"/>
    <w:rsid w:val="00A24396"/>
    <w:rsid w:val="00A24AC3"/>
    <w:rsid w:val="00A259ED"/>
    <w:rsid w:val="00A31DD8"/>
    <w:rsid w:val="00A37C13"/>
    <w:rsid w:val="00A42018"/>
    <w:rsid w:val="00A44816"/>
    <w:rsid w:val="00A50ACA"/>
    <w:rsid w:val="00A60CA3"/>
    <w:rsid w:val="00A6227F"/>
    <w:rsid w:val="00A64A53"/>
    <w:rsid w:val="00A660F1"/>
    <w:rsid w:val="00A67E03"/>
    <w:rsid w:val="00A7757E"/>
    <w:rsid w:val="00A83E02"/>
    <w:rsid w:val="00A85F79"/>
    <w:rsid w:val="00A91044"/>
    <w:rsid w:val="00A931D1"/>
    <w:rsid w:val="00A93622"/>
    <w:rsid w:val="00A95B72"/>
    <w:rsid w:val="00A97F02"/>
    <w:rsid w:val="00AA3384"/>
    <w:rsid w:val="00AB48D5"/>
    <w:rsid w:val="00AC3621"/>
    <w:rsid w:val="00AC3B8C"/>
    <w:rsid w:val="00AD45F9"/>
    <w:rsid w:val="00AD56ED"/>
    <w:rsid w:val="00AD6081"/>
    <w:rsid w:val="00AD7169"/>
    <w:rsid w:val="00AE237A"/>
    <w:rsid w:val="00AE2DFB"/>
    <w:rsid w:val="00AE4404"/>
    <w:rsid w:val="00AF061A"/>
    <w:rsid w:val="00AF5745"/>
    <w:rsid w:val="00B004E2"/>
    <w:rsid w:val="00B06EDF"/>
    <w:rsid w:val="00B1102B"/>
    <w:rsid w:val="00B16387"/>
    <w:rsid w:val="00B22A22"/>
    <w:rsid w:val="00B22F5B"/>
    <w:rsid w:val="00B32E02"/>
    <w:rsid w:val="00B35FB4"/>
    <w:rsid w:val="00B364F3"/>
    <w:rsid w:val="00B41C5B"/>
    <w:rsid w:val="00B50AF9"/>
    <w:rsid w:val="00B5640A"/>
    <w:rsid w:val="00B570E8"/>
    <w:rsid w:val="00B604BC"/>
    <w:rsid w:val="00B62DDA"/>
    <w:rsid w:val="00B64753"/>
    <w:rsid w:val="00B652D0"/>
    <w:rsid w:val="00B7224C"/>
    <w:rsid w:val="00B84470"/>
    <w:rsid w:val="00B8560D"/>
    <w:rsid w:val="00B86026"/>
    <w:rsid w:val="00B969F4"/>
    <w:rsid w:val="00BB070D"/>
    <w:rsid w:val="00BB075D"/>
    <w:rsid w:val="00BB3D40"/>
    <w:rsid w:val="00BB3F1C"/>
    <w:rsid w:val="00BB54EC"/>
    <w:rsid w:val="00BD3FC0"/>
    <w:rsid w:val="00BD426D"/>
    <w:rsid w:val="00BD4446"/>
    <w:rsid w:val="00BD7606"/>
    <w:rsid w:val="00BE07E5"/>
    <w:rsid w:val="00BE1563"/>
    <w:rsid w:val="00BE41D8"/>
    <w:rsid w:val="00BE4DE5"/>
    <w:rsid w:val="00BF58C7"/>
    <w:rsid w:val="00BF7517"/>
    <w:rsid w:val="00BF7784"/>
    <w:rsid w:val="00BF783F"/>
    <w:rsid w:val="00BF7A83"/>
    <w:rsid w:val="00C0185C"/>
    <w:rsid w:val="00C02B63"/>
    <w:rsid w:val="00C035D6"/>
    <w:rsid w:val="00C13BE9"/>
    <w:rsid w:val="00C17D74"/>
    <w:rsid w:val="00C222A0"/>
    <w:rsid w:val="00C24FCC"/>
    <w:rsid w:val="00C2730F"/>
    <w:rsid w:val="00C33BF0"/>
    <w:rsid w:val="00C35B74"/>
    <w:rsid w:val="00C369C4"/>
    <w:rsid w:val="00C407A0"/>
    <w:rsid w:val="00C40F98"/>
    <w:rsid w:val="00C446A5"/>
    <w:rsid w:val="00C4594F"/>
    <w:rsid w:val="00C52A4F"/>
    <w:rsid w:val="00C5496B"/>
    <w:rsid w:val="00C56839"/>
    <w:rsid w:val="00C568B0"/>
    <w:rsid w:val="00C57599"/>
    <w:rsid w:val="00C5799C"/>
    <w:rsid w:val="00C60351"/>
    <w:rsid w:val="00C631AA"/>
    <w:rsid w:val="00C6546E"/>
    <w:rsid w:val="00C677D0"/>
    <w:rsid w:val="00C75CDE"/>
    <w:rsid w:val="00C7694E"/>
    <w:rsid w:val="00C779CD"/>
    <w:rsid w:val="00C92A48"/>
    <w:rsid w:val="00CA76E2"/>
    <w:rsid w:val="00CB0277"/>
    <w:rsid w:val="00CB2153"/>
    <w:rsid w:val="00CB3580"/>
    <w:rsid w:val="00CB523B"/>
    <w:rsid w:val="00CB6FAA"/>
    <w:rsid w:val="00CC1B63"/>
    <w:rsid w:val="00CC2C6B"/>
    <w:rsid w:val="00CC3D1C"/>
    <w:rsid w:val="00CC6D30"/>
    <w:rsid w:val="00CC7B17"/>
    <w:rsid w:val="00CD157C"/>
    <w:rsid w:val="00CD2EC4"/>
    <w:rsid w:val="00CD4816"/>
    <w:rsid w:val="00CD66F2"/>
    <w:rsid w:val="00CD7660"/>
    <w:rsid w:val="00CE53FD"/>
    <w:rsid w:val="00CE58B4"/>
    <w:rsid w:val="00CE6FB0"/>
    <w:rsid w:val="00CE7F06"/>
    <w:rsid w:val="00CF141F"/>
    <w:rsid w:val="00D105F8"/>
    <w:rsid w:val="00D136BE"/>
    <w:rsid w:val="00D1461B"/>
    <w:rsid w:val="00D22642"/>
    <w:rsid w:val="00D23A79"/>
    <w:rsid w:val="00D23DE5"/>
    <w:rsid w:val="00D248EE"/>
    <w:rsid w:val="00D40078"/>
    <w:rsid w:val="00D4345C"/>
    <w:rsid w:val="00D45507"/>
    <w:rsid w:val="00D45650"/>
    <w:rsid w:val="00D457A4"/>
    <w:rsid w:val="00D45D8D"/>
    <w:rsid w:val="00D51B58"/>
    <w:rsid w:val="00D52E06"/>
    <w:rsid w:val="00D54139"/>
    <w:rsid w:val="00D56895"/>
    <w:rsid w:val="00D710A5"/>
    <w:rsid w:val="00D7199C"/>
    <w:rsid w:val="00D72002"/>
    <w:rsid w:val="00D76528"/>
    <w:rsid w:val="00D773DC"/>
    <w:rsid w:val="00D77A77"/>
    <w:rsid w:val="00D77F7E"/>
    <w:rsid w:val="00D81DD8"/>
    <w:rsid w:val="00D90C87"/>
    <w:rsid w:val="00D928B1"/>
    <w:rsid w:val="00D97EF7"/>
    <w:rsid w:val="00DA037A"/>
    <w:rsid w:val="00DA03A8"/>
    <w:rsid w:val="00DA40A7"/>
    <w:rsid w:val="00DA5828"/>
    <w:rsid w:val="00DA68C3"/>
    <w:rsid w:val="00DB29BD"/>
    <w:rsid w:val="00DB3639"/>
    <w:rsid w:val="00DB3BBD"/>
    <w:rsid w:val="00DC47E8"/>
    <w:rsid w:val="00DD1707"/>
    <w:rsid w:val="00DD443E"/>
    <w:rsid w:val="00DD6DCE"/>
    <w:rsid w:val="00DE1547"/>
    <w:rsid w:val="00DF1042"/>
    <w:rsid w:val="00DF356E"/>
    <w:rsid w:val="00DF65E5"/>
    <w:rsid w:val="00E01900"/>
    <w:rsid w:val="00E13082"/>
    <w:rsid w:val="00E15ED6"/>
    <w:rsid w:val="00E235B2"/>
    <w:rsid w:val="00E2673F"/>
    <w:rsid w:val="00E267AA"/>
    <w:rsid w:val="00E30688"/>
    <w:rsid w:val="00E33B1F"/>
    <w:rsid w:val="00E3531F"/>
    <w:rsid w:val="00E36F62"/>
    <w:rsid w:val="00E4131D"/>
    <w:rsid w:val="00E42372"/>
    <w:rsid w:val="00E5013B"/>
    <w:rsid w:val="00E5277E"/>
    <w:rsid w:val="00E564DA"/>
    <w:rsid w:val="00E57E85"/>
    <w:rsid w:val="00E62A14"/>
    <w:rsid w:val="00E634BA"/>
    <w:rsid w:val="00E70F27"/>
    <w:rsid w:val="00E7132C"/>
    <w:rsid w:val="00E723E9"/>
    <w:rsid w:val="00E7251D"/>
    <w:rsid w:val="00E76130"/>
    <w:rsid w:val="00E77213"/>
    <w:rsid w:val="00E806BD"/>
    <w:rsid w:val="00E82014"/>
    <w:rsid w:val="00E85E6D"/>
    <w:rsid w:val="00E91C40"/>
    <w:rsid w:val="00E95C30"/>
    <w:rsid w:val="00EB1704"/>
    <w:rsid w:val="00EB1946"/>
    <w:rsid w:val="00EB1AB2"/>
    <w:rsid w:val="00EB2BEB"/>
    <w:rsid w:val="00EB36BB"/>
    <w:rsid w:val="00EB719F"/>
    <w:rsid w:val="00EB7441"/>
    <w:rsid w:val="00ED453C"/>
    <w:rsid w:val="00EE0743"/>
    <w:rsid w:val="00EE375D"/>
    <w:rsid w:val="00EF225D"/>
    <w:rsid w:val="00EF2791"/>
    <w:rsid w:val="00F04151"/>
    <w:rsid w:val="00F0508F"/>
    <w:rsid w:val="00F10826"/>
    <w:rsid w:val="00F1110A"/>
    <w:rsid w:val="00F145E4"/>
    <w:rsid w:val="00F173A8"/>
    <w:rsid w:val="00F24123"/>
    <w:rsid w:val="00F24217"/>
    <w:rsid w:val="00F27AD2"/>
    <w:rsid w:val="00F35CFC"/>
    <w:rsid w:val="00F362D2"/>
    <w:rsid w:val="00F448A8"/>
    <w:rsid w:val="00F46105"/>
    <w:rsid w:val="00F51B8F"/>
    <w:rsid w:val="00F65821"/>
    <w:rsid w:val="00F72901"/>
    <w:rsid w:val="00F74C9D"/>
    <w:rsid w:val="00F7781D"/>
    <w:rsid w:val="00F80DE9"/>
    <w:rsid w:val="00F82DEF"/>
    <w:rsid w:val="00F846EE"/>
    <w:rsid w:val="00F84A96"/>
    <w:rsid w:val="00F9176E"/>
    <w:rsid w:val="00F94FF5"/>
    <w:rsid w:val="00F963D2"/>
    <w:rsid w:val="00FA3C0A"/>
    <w:rsid w:val="00FA3C2C"/>
    <w:rsid w:val="00FA6274"/>
    <w:rsid w:val="00FB21E0"/>
    <w:rsid w:val="00FB48B2"/>
    <w:rsid w:val="00FC25F8"/>
    <w:rsid w:val="00FC7FF0"/>
    <w:rsid w:val="00FD77A6"/>
    <w:rsid w:val="00FE2928"/>
    <w:rsid w:val="00FE412A"/>
    <w:rsid w:val="00FE560C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Bezodstpw">
    <w:name w:val="No Spacing"/>
    <w:uiPriority w:val="1"/>
    <w:qFormat/>
    <w:rsid w:val="005351FA"/>
    <w:pPr>
      <w:suppressAutoHyphens/>
    </w:pPr>
    <w:rPr>
      <w:rFonts w:asciiTheme="minorHAnsi" w:eastAsiaTheme="minorHAnsi" w:hAnsiTheme="minorHAns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Bezodstpw">
    <w:name w:val="No Spacing"/>
    <w:uiPriority w:val="1"/>
    <w:qFormat/>
    <w:rsid w:val="005351FA"/>
    <w:pPr>
      <w:suppressAutoHyphens/>
    </w:pPr>
    <w:rPr>
      <w:rFonts w:asciiTheme="minorHAnsi" w:eastAsiaTheme="minorHAnsi" w:hAnsiTheme="minorHAns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74E47-185C-4F49-8AF3-AEEC8F53A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3894</Words>
  <Characters>23370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2022-03-10T09:04:00Z</cp:lastPrinted>
  <dcterms:created xsi:type="dcterms:W3CDTF">2022-03-11T07:18:00Z</dcterms:created>
  <dcterms:modified xsi:type="dcterms:W3CDTF">2022-03-11T08:22:00Z</dcterms:modified>
</cp:coreProperties>
</file>