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D1C54D" w14:textId="6968BF85" w:rsidR="00947725" w:rsidRDefault="00947725">
      <w:r w:rsidRPr="00947725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72883B7D" wp14:editId="77A8AC87">
            <wp:extent cx="5760720" cy="684000"/>
            <wp:effectExtent l="0" t="0" r="0" b="190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8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</w:tblGrid>
      <w:tr w:rsidR="00967BAF" w:rsidRPr="0095019C" w14:paraId="1888EA91" w14:textId="77777777" w:rsidTr="008572E8">
        <w:tc>
          <w:tcPr>
            <w:tcW w:w="9993" w:type="dxa"/>
          </w:tcPr>
          <w:p w14:paraId="0A23A6B5" w14:textId="77777777" w:rsidR="00ED0260" w:rsidRPr="00ED0260" w:rsidRDefault="00ED0260" w:rsidP="00ED0260">
            <w:pPr>
              <w:spacing w:after="160" w:line="259" w:lineRule="auto"/>
              <w:jc w:val="right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D0260">
              <w:rPr>
                <w:rFonts w:ascii="Calibri" w:eastAsia="Calibri" w:hAnsi="Calibri" w:cs="Times New Roman"/>
                <w:sz w:val="24"/>
                <w:szCs w:val="24"/>
              </w:rPr>
              <w:t>Załącznik A do SWZ</w:t>
            </w:r>
          </w:p>
          <w:p w14:paraId="14BF2C9F" w14:textId="77777777" w:rsidR="00ED0260" w:rsidRPr="00ED0260" w:rsidRDefault="00ED0260" w:rsidP="00ED0260">
            <w:pPr>
              <w:spacing w:after="160" w:line="259" w:lineRule="auto"/>
              <w:jc w:val="right"/>
              <w:rPr>
                <w:rFonts w:ascii="Calibri" w:eastAsia="Calibri" w:hAnsi="Calibri" w:cs="Times New Roman"/>
              </w:rPr>
            </w:pPr>
          </w:p>
          <w:p w14:paraId="051F9274" w14:textId="77777777" w:rsidR="00ED0260" w:rsidRPr="00ED0260" w:rsidRDefault="00ED0260" w:rsidP="00ED0260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  <w:r w:rsidRPr="00ED0260">
              <w:rPr>
                <w:rFonts w:ascii="Calibri" w:eastAsia="Calibri" w:hAnsi="Calibri" w:cs="Times New Roman"/>
                <w:b/>
                <w:sz w:val="24"/>
                <w:szCs w:val="24"/>
              </w:rPr>
              <w:t>OPIS PRZEDMIOTU ZAMÓWIENIA</w:t>
            </w:r>
          </w:p>
          <w:p w14:paraId="73BD8AC3" w14:textId="77777777" w:rsidR="00947725" w:rsidRPr="00947725" w:rsidRDefault="00947725" w:rsidP="00947725">
            <w:pPr>
              <w:pStyle w:val="NormalnyWeb"/>
              <w:rPr>
                <w:u w:val="single"/>
              </w:rPr>
            </w:pPr>
            <w:r w:rsidRPr="00947725">
              <w:rPr>
                <w:u w:val="single"/>
              </w:rPr>
              <w:t xml:space="preserve">Specyfikacja dot. testów aparatów słuchowych: </w:t>
            </w:r>
          </w:p>
          <w:p w14:paraId="498141F1" w14:textId="77777777" w:rsidR="00947725" w:rsidRDefault="00947725" w:rsidP="00947725">
            <w:pPr>
              <w:pStyle w:val="NormalnyWeb"/>
            </w:pPr>
            <w:r>
              <w:t xml:space="preserve">Liczba sztuk – 8 </w:t>
            </w:r>
          </w:p>
          <w:p w14:paraId="7ECB91FD" w14:textId="77777777" w:rsidR="00947725" w:rsidRDefault="00947725" w:rsidP="00947725">
            <w:pPr>
              <w:pStyle w:val="NormalnyWeb"/>
            </w:pPr>
            <w:r>
              <w:t>− Testy: maksymalny poziom ciśnienia akustycznego (OSPL90), wzmocnienie całkowite (FOG), Wejście/Wyjście (in/out), czas narastania i czas zaniku (</w:t>
            </w:r>
            <w:proofErr w:type="spellStart"/>
            <w:r>
              <w:t>Att</w:t>
            </w:r>
            <w:proofErr w:type="spellEnd"/>
            <w:r>
              <w:t xml:space="preserve">./Rel.), wzmocnienie odniesienia (Ref. Test </w:t>
            </w:r>
            <w:proofErr w:type="spellStart"/>
            <w:r>
              <w:t>Gain</w:t>
            </w:r>
            <w:proofErr w:type="spellEnd"/>
            <w:r>
              <w:t>), odpowiedź częstotliwościowa (</w:t>
            </w:r>
            <w:proofErr w:type="spellStart"/>
            <w:r>
              <w:t>Freq</w:t>
            </w:r>
            <w:proofErr w:type="spellEnd"/>
            <w:r>
              <w:t xml:space="preserve">. </w:t>
            </w:r>
            <w:proofErr w:type="spellStart"/>
            <w:r>
              <w:t>Resp</w:t>
            </w:r>
            <w:proofErr w:type="spellEnd"/>
            <w:r>
              <w:t>.), równoważny poziom szumów wejściowych (</w:t>
            </w:r>
            <w:proofErr w:type="spellStart"/>
            <w:r>
              <w:t>equivalent</w:t>
            </w:r>
            <w:proofErr w:type="spellEnd"/>
            <w:r>
              <w:t xml:space="preserve"> </w:t>
            </w:r>
            <w:proofErr w:type="spellStart"/>
            <w:r>
              <w:t>input</w:t>
            </w:r>
            <w:proofErr w:type="spellEnd"/>
            <w:r>
              <w:t xml:space="preserve"> </w:t>
            </w:r>
            <w:proofErr w:type="spellStart"/>
            <w:r>
              <w:t>noise</w:t>
            </w:r>
            <w:proofErr w:type="spellEnd"/>
            <w:r>
              <w:t>), zniekształcenia harmoniczne (</w:t>
            </w:r>
            <w:proofErr w:type="spellStart"/>
            <w:r>
              <w:t>harmonic</w:t>
            </w:r>
            <w:proofErr w:type="spellEnd"/>
            <w:r>
              <w:t xml:space="preserve"> </w:t>
            </w:r>
            <w:proofErr w:type="spellStart"/>
            <w:r>
              <w:t>distortion</w:t>
            </w:r>
            <w:proofErr w:type="spellEnd"/>
            <w:r>
              <w:t>), pobór prądu (</w:t>
            </w:r>
            <w:proofErr w:type="spellStart"/>
            <w:r>
              <w:t>batt</w:t>
            </w:r>
            <w:proofErr w:type="spellEnd"/>
            <w:r>
              <w:t xml:space="preserve">. </w:t>
            </w:r>
            <w:proofErr w:type="spellStart"/>
            <w:r>
              <w:t>Current</w:t>
            </w:r>
            <w:proofErr w:type="spellEnd"/>
            <w:r>
              <w:t xml:space="preserve"> </w:t>
            </w:r>
            <w:proofErr w:type="spellStart"/>
            <w:r>
              <w:t>drain</w:t>
            </w:r>
            <w:proofErr w:type="spellEnd"/>
            <w:r>
              <w:t>), skuteczność cewki (T-</w:t>
            </w:r>
            <w:proofErr w:type="spellStart"/>
            <w:r>
              <w:t>coil</w:t>
            </w:r>
            <w:proofErr w:type="spellEnd"/>
            <w:r>
              <w:t xml:space="preserve">) </w:t>
            </w:r>
            <w:r>
              <w:br/>
              <w:t xml:space="preserve">− Wyjście: Głośnik, cewka </w:t>
            </w:r>
            <w:r>
              <w:br/>
              <w:t xml:space="preserve">− Zakres częstotliwości: 125 </w:t>
            </w:r>
            <w:proofErr w:type="spellStart"/>
            <w:r>
              <w:t>Hz</w:t>
            </w:r>
            <w:proofErr w:type="spellEnd"/>
            <w:r>
              <w:t xml:space="preserve"> – 16 kHz </w:t>
            </w:r>
            <w:r>
              <w:br/>
              <w:t xml:space="preserve">- menu oprogramowania w jęz. polskim </w:t>
            </w:r>
            <w:r>
              <w:br/>
              <w:t xml:space="preserve">− Rozdzielczość częstotliwościowa: 1/6, 1/24th </w:t>
            </w:r>
            <w:r>
              <w:br/>
              <w:t xml:space="preserve">− Poziom sygnałów: 50 - 90 </w:t>
            </w:r>
            <w:proofErr w:type="spellStart"/>
            <w:r>
              <w:t>dB</w:t>
            </w:r>
            <w:proofErr w:type="spellEnd"/>
            <w:r>
              <w:t xml:space="preserve"> SPL </w:t>
            </w:r>
            <w:r>
              <w:br/>
              <w:t xml:space="preserve">− Zniekształcenia bodźca: &lt;1% </w:t>
            </w:r>
            <w:r>
              <w:br/>
              <w:t xml:space="preserve">− Bodziec: czysty ton, ton modulowany, wąskopasmowy szum, szum biały, mowa ważona szumem, szum różowy </w:t>
            </w:r>
            <w:r>
              <w:br/>
              <w:t xml:space="preserve">− Cewka: 31.6 do 316mA/m </w:t>
            </w:r>
            <w:r>
              <w:br/>
              <w:t xml:space="preserve">− Symulator baterii: 0-2 V, 0 – 25ohm, 0.01-50mA </w:t>
            </w:r>
            <w:r>
              <w:br/>
              <w:t xml:space="preserve">− Kontrola: słuchawki operatora do kontroli bodźca w </w:t>
            </w:r>
            <w:proofErr w:type="spellStart"/>
            <w:r>
              <w:t>sprzegaczu</w:t>
            </w:r>
            <w:proofErr w:type="spellEnd"/>
            <w:r>
              <w:t xml:space="preserve"> </w:t>
            </w:r>
            <w:r>
              <w:br/>
              <w:t xml:space="preserve">− Typy baterii: 5A, 10A, 312, 13, 675 </w:t>
            </w:r>
            <w:r>
              <w:br/>
              <w:t xml:space="preserve">− Podłączenie aparatów słuchowych do interfejsu: </w:t>
            </w:r>
            <w:proofErr w:type="spellStart"/>
            <w:r>
              <w:t>NOAHLink</w:t>
            </w:r>
            <w:proofErr w:type="spellEnd"/>
            <w:r>
              <w:t xml:space="preserve">, HIPRO </w:t>
            </w:r>
            <w:r>
              <w:br/>
              <w:t xml:space="preserve">− Wyposażenie: sprzęgacz aparatów kieszonkowych, kabel USB, sprzęgacz mikrofonu, sprzęgacz 2cc, sprzęgacz ITE, sprzęgacz BTE, mikrofon referencyjny, kilka </w:t>
            </w:r>
            <w:proofErr w:type="spellStart"/>
            <w:r>
              <w:t>rodzai</w:t>
            </w:r>
            <w:proofErr w:type="spellEnd"/>
            <w:r>
              <w:t xml:space="preserve"> adapterów baterii </w:t>
            </w:r>
            <w:r>
              <w:br/>
            </w:r>
            <w:r>
              <w:br/>
              <w:t xml:space="preserve">Urządzenie musi być zgodne z następującymi normami: </w:t>
            </w:r>
            <w:r>
              <w:br/>
              <w:t xml:space="preserve">− Test aparatów słuchowych: IEC 60118-7, ANSI S3.22 </w:t>
            </w:r>
            <w:r>
              <w:br/>
              <w:t xml:space="preserve">− Bezpieczeństwo: IEC 60601-1, Klasa 1,Typ B </w:t>
            </w:r>
            <w:r>
              <w:br/>
              <w:t xml:space="preserve">− EMC: IEC 60601-2 </w:t>
            </w:r>
            <w:r>
              <w:br/>
              <w:t xml:space="preserve">− </w:t>
            </w:r>
            <w:r>
              <w:br/>
              <w:t xml:space="preserve">Specyfikacja dot. modułu do pomiarów na uchu rzeczywistym: </w:t>
            </w:r>
          </w:p>
          <w:p w14:paraId="62AC9623" w14:textId="77777777" w:rsidR="00947725" w:rsidRDefault="00947725" w:rsidP="00947725">
            <w:pPr>
              <w:pStyle w:val="NormalnyWeb"/>
            </w:pPr>
            <w:r>
              <w:t>Liczba sztuk – 8</w:t>
            </w:r>
          </w:p>
          <w:p w14:paraId="1208A70B" w14:textId="77777777" w:rsidR="00947725" w:rsidRDefault="00947725" w:rsidP="00947725">
            <w:pPr>
              <w:pStyle w:val="NormalnyWeb"/>
            </w:pPr>
            <w:r>
              <w:t xml:space="preserve">− Testy: REUR, RREUG, REOR,REOG,REAR,REIG,RECD </w:t>
            </w:r>
            <w:r>
              <w:br/>
              <w:t xml:space="preserve">− Wyjście: wolne pole </w:t>
            </w:r>
            <w:r>
              <w:br/>
              <w:t xml:space="preserve">− Zakres częstotliwości: 125 </w:t>
            </w:r>
            <w:proofErr w:type="spellStart"/>
            <w:r>
              <w:t>Hz</w:t>
            </w:r>
            <w:proofErr w:type="spellEnd"/>
            <w:r>
              <w:t xml:space="preserve"> – 16 kHz </w:t>
            </w:r>
            <w:r>
              <w:br/>
              <w:t xml:space="preserve">− Rozdzielczość częstotliwości 1/24 oktawy </w:t>
            </w:r>
            <w:r>
              <w:br/>
              <w:t xml:space="preserve">− Poziom sygnałów: 50 – 90 </w:t>
            </w:r>
            <w:proofErr w:type="spellStart"/>
            <w:r>
              <w:t>dB</w:t>
            </w:r>
            <w:proofErr w:type="spellEnd"/>
            <w:r>
              <w:t xml:space="preserve"> </w:t>
            </w:r>
            <w:r>
              <w:br/>
              <w:t xml:space="preserve">− Zniekształcenia bodźca: &lt;1% </w:t>
            </w:r>
            <w:r>
              <w:br/>
              <w:t xml:space="preserve">− Bodziec: ICRA, ISTS, szum biały, szum różowy, szum mowy </w:t>
            </w:r>
            <w:r>
              <w:br/>
              <w:t xml:space="preserve">− Kontrola: słuchawki operatora do komunikacji i kontroli bodźca </w:t>
            </w:r>
            <w:r>
              <w:br/>
              <w:t xml:space="preserve">− </w:t>
            </w:r>
            <w:r>
              <w:br/>
              <w:t xml:space="preserve">Urządzenie musi być zgodne z następującymi normami: </w:t>
            </w:r>
            <w:r>
              <w:br/>
              <w:t xml:space="preserve">− Pomiar na uchu rzeczywistym: EN 61669, ANSI S3.46 </w:t>
            </w:r>
            <w:r>
              <w:br/>
              <w:t xml:space="preserve">− Bezpieczeństwo: IEC 60601-1, Klasa 1,Typ B </w:t>
            </w:r>
            <w:r>
              <w:br/>
              <w:t xml:space="preserve">− EMC: IEC 60601-2 </w:t>
            </w:r>
          </w:p>
          <w:p w14:paraId="70FCFACE" w14:textId="77777777" w:rsidR="00947725" w:rsidRDefault="00947725" w:rsidP="00947725">
            <w:pPr>
              <w:pStyle w:val="NormalnyWeb"/>
            </w:pPr>
            <w:r>
              <w:t>Oba urządzenia powinny mieć możliwość pracy z poziomu jednego oprogramowania.</w:t>
            </w:r>
          </w:p>
          <w:p w14:paraId="7A96090E" w14:textId="0833CB82" w:rsidR="00947725" w:rsidRDefault="00947725" w:rsidP="00947725">
            <w:pPr>
              <w:pStyle w:val="NormalnyWeb"/>
              <w:rPr>
                <w:b/>
              </w:rPr>
            </w:pPr>
            <w:r w:rsidRPr="004B7C94">
              <w:rPr>
                <w:b/>
              </w:rPr>
              <w:t>Okres gwarancji – min. 36 miesięcy</w:t>
            </w:r>
            <w:r>
              <w:rPr>
                <w:b/>
              </w:rPr>
              <w:t xml:space="preserve">, za dodatkowe 12 miesięcy gwarancji – </w:t>
            </w:r>
            <w:r>
              <w:rPr>
                <w:b/>
              </w:rPr>
              <w:t>2</w:t>
            </w:r>
            <w:r>
              <w:rPr>
                <w:b/>
              </w:rPr>
              <w:t>0 pkt</w:t>
            </w:r>
            <w:r w:rsidRPr="004B7C94">
              <w:rPr>
                <w:b/>
              </w:rPr>
              <w:br/>
              <w:t xml:space="preserve">Termin dostawy - </w:t>
            </w:r>
            <w:r>
              <w:rPr>
                <w:b/>
              </w:rPr>
              <w:t>30</w:t>
            </w:r>
            <w:r w:rsidRPr="004B7C94">
              <w:rPr>
                <w:b/>
              </w:rPr>
              <w:t xml:space="preserve"> dni od daty podpisania umowy</w:t>
            </w:r>
            <w:r>
              <w:rPr>
                <w:b/>
              </w:rPr>
              <w:t xml:space="preserve">. W przypadku dostawy w terminie 14 dni od daty podpisania umowy – </w:t>
            </w:r>
            <w:r>
              <w:rPr>
                <w:b/>
              </w:rPr>
              <w:t>2</w:t>
            </w:r>
            <w:r>
              <w:rPr>
                <w:b/>
              </w:rPr>
              <w:t>0 pkt.</w:t>
            </w:r>
          </w:p>
          <w:p w14:paraId="275C3C7A" w14:textId="77777777" w:rsidR="00967BAF" w:rsidRPr="0095019C" w:rsidRDefault="00967BAF" w:rsidP="008572E8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967BAF" w:rsidRPr="0095019C" w14:paraId="018EF551" w14:textId="77777777" w:rsidTr="008572E8">
        <w:tc>
          <w:tcPr>
            <w:tcW w:w="9993" w:type="dxa"/>
          </w:tcPr>
          <w:p w14:paraId="579B72C6" w14:textId="77777777" w:rsidR="00967BAF" w:rsidRPr="0095019C" w:rsidRDefault="00967BAF" w:rsidP="008572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368DB76" w14:textId="77777777" w:rsidR="00A01D0F" w:rsidRDefault="00A01D0F"/>
    <w:sectPr w:rsidR="00A01D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C6358"/>
    <w:multiLevelType w:val="hybridMultilevel"/>
    <w:tmpl w:val="DE669370"/>
    <w:lvl w:ilvl="0" w:tplc="3C2CE422">
      <w:numFmt w:val="bullet"/>
      <w:lvlText w:val="·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B745A6B"/>
    <w:multiLevelType w:val="hybridMultilevel"/>
    <w:tmpl w:val="81901320"/>
    <w:lvl w:ilvl="0" w:tplc="04462C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8743FE"/>
    <w:multiLevelType w:val="hybridMultilevel"/>
    <w:tmpl w:val="8EE6889C"/>
    <w:lvl w:ilvl="0" w:tplc="48CE9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D37E27"/>
    <w:multiLevelType w:val="hybridMultilevel"/>
    <w:tmpl w:val="C52CD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34779C"/>
    <w:multiLevelType w:val="hybridMultilevel"/>
    <w:tmpl w:val="FCAE6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856106"/>
    <w:multiLevelType w:val="hybridMultilevel"/>
    <w:tmpl w:val="FB7A3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925338"/>
    <w:multiLevelType w:val="hybridMultilevel"/>
    <w:tmpl w:val="ACEEAE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EE0FB6"/>
    <w:multiLevelType w:val="hybridMultilevel"/>
    <w:tmpl w:val="6F2C80B4"/>
    <w:lvl w:ilvl="0" w:tplc="28C0CD88">
      <w:start w:val="1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E881E66"/>
    <w:multiLevelType w:val="hybridMultilevel"/>
    <w:tmpl w:val="79AC4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2CE422">
      <w:numFmt w:val="bullet"/>
      <w:lvlText w:val="·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8"/>
  </w:num>
  <w:num w:numId="5">
    <w:abstractNumId w:val="1"/>
  </w:num>
  <w:num w:numId="6">
    <w:abstractNumId w:val="6"/>
  </w:num>
  <w:num w:numId="7">
    <w:abstractNumId w:val="3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BAF"/>
    <w:rsid w:val="0011477C"/>
    <w:rsid w:val="00174F2D"/>
    <w:rsid w:val="001879DD"/>
    <w:rsid w:val="00312655"/>
    <w:rsid w:val="007241A4"/>
    <w:rsid w:val="008C5FDD"/>
    <w:rsid w:val="008E0983"/>
    <w:rsid w:val="00947725"/>
    <w:rsid w:val="00967BAF"/>
    <w:rsid w:val="00A01D0F"/>
    <w:rsid w:val="00A55E6C"/>
    <w:rsid w:val="00BB4835"/>
    <w:rsid w:val="00C338CA"/>
    <w:rsid w:val="00D72702"/>
    <w:rsid w:val="00ED0260"/>
    <w:rsid w:val="00F454C5"/>
    <w:rsid w:val="00FD1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45F0D"/>
  <w15:chartTrackingRefBased/>
  <w15:docId w15:val="{26517AFC-1A15-4DD7-A07C-722681757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67BA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7BAF"/>
    <w:pPr>
      <w:ind w:left="720"/>
      <w:contextualSpacing/>
    </w:pPr>
  </w:style>
  <w:style w:type="character" w:styleId="Hipercze">
    <w:name w:val="Hyperlink"/>
    <w:basedOn w:val="Domylnaczcionkaakapitu"/>
    <w:unhideWhenUsed/>
    <w:rsid w:val="00C338CA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338CA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02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0260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4772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334</Words>
  <Characters>2009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Gdula</dc:creator>
  <cp:keywords/>
  <dc:description/>
  <cp:lastModifiedBy>Alicja Bemowicz</cp:lastModifiedBy>
  <cp:revision>6</cp:revision>
  <cp:lastPrinted>2022-02-11T12:59:00Z</cp:lastPrinted>
  <dcterms:created xsi:type="dcterms:W3CDTF">2022-01-21T09:21:00Z</dcterms:created>
  <dcterms:modified xsi:type="dcterms:W3CDTF">2022-03-31T07:34:00Z</dcterms:modified>
</cp:coreProperties>
</file>