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A39" w:rsidRPr="00422A39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8"/>
          <w:szCs w:val="28"/>
        </w:rPr>
      </w:pPr>
      <w:r w:rsidRPr="00422A39">
        <w:rPr>
          <w:rFonts w:ascii="Arial Narrow" w:eastAsia="Times New Roman" w:hAnsi="Arial Narrow" w:cs="Segoe UI"/>
          <w:b/>
          <w:color w:val="000000"/>
          <w:sz w:val="28"/>
          <w:szCs w:val="28"/>
        </w:rPr>
        <w:t>Zakres czynności wymaganych przy przeglądzie i konserwacji</w:t>
      </w:r>
      <w:r w:rsidRPr="00422A39">
        <w:rPr>
          <w:rFonts w:ascii="Arial Narrow" w:eastAsia="Times New Roman" w:hAnsi="Arial Narrow" w:cs="Segoe UI"/>
          <w:color w:val="000000"/>
          <w:sz w:val="28"/>
          <w:szCs w:val="28"/>
        </w:rPr>
        <w:t>:</w:t>
      </w:r>
    </w:p>
    <w:p w:rsidR="00422A39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DD087D" w:rsidRDefault="00422A39" w:rsidP="00422A39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>Oględziny</w:t>
      </w:r>
    </w:p>
    <w:p w:rsidR="00422A39" w:rsidRPr="00DD087D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DD087D" w:rsidRDefault="00422A39" w:rsidP="00422A39">
      <w:pPr>
        <w:pStyle w:val="Akapitzlist"/>
        <w:numPr>
          <w:ilvl w:val="0"/>
          <w:numId w:val="2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 xml:space="preserve">Wykonać </w:t>
      </w:r>
      <w:r>
        <w:rPr>
          <w:rFonts w:ascii="Arial Narrow" w:eastAsia="Times New Roman" w:hAnsi="Arial Narrow" w:cs="Segoe UI"/>
          <w:color w:val="000000"/>
          <w:sz w:val="24"/>
          <w:szCs w:val="24"/>
        </w:rPr>
        <w:t>oględziny</w:t>
      </w: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 xml:space="preserve"> przed próbami funkcjonalnymi i przy odłączonym napięciu</w:t>
      </w:r>
    </w:p>
    <w:p w:rsidR="00422A39" w:rsidRPr="00E47C7E" w:rsidRDefault="00422A39" w:rsidP="00422A39">
      <w:pPr>
        <w:pStyle w:val="Akapitzlist"/>
        <w:numPr>
          <w:ilvl w:val="0"/>
          <w:numId w:val="2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E47C7E">
        <w:rPr>
          <w:rFonts w:ascii="Arial Narrow" w:eastAsia="Times New Roman" w:hAnsi="Arial Narrow" w:cs="Segoe UI"/>
          <w:color w:val="000000"/>
          <w:sz w:val="24"/>
          <w:szCs w:val="24"/>
        </w:rPr>
        <w:t>Sprawdzenie czy zainstalowane urządzenia elektryczne spełniają wymagania bezpieczeństwa podane w obowiązujących normach</w:t>
      </w:r>
    </w:p>
    <w:p w:rsidR="00422A39" w:rsidRPr="00DD087D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C74B0E" w:rsidRDefault="00422A39" w:rsidP="00422A39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Należy sprawdzić</w:t>
      </w:r>
    </w:p>
    <w:p w:rsidR="00422A39" w:rsidRPr="00DD087D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C74B0E" w:rsidRDefault="00422A39" w:rsidP="00422A39">
      <w:pPr>
        <w:pStyle w:val="Akapitzlist"/>
        <w:numPr>
          <w:ilvl w:val="0"/>
          <w:numId w:val="3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Sposób ochrony przed porażeniem prądem w zakresie ochrony podstawowej</w:t>
      </w:r>
    </w:p>
    <w:p w:rsidR="00422A39" w:rsidRPr="00C74B0E" w:rsidRDefault="00422A39" w:rsidP="00422A39">
      <w:pPr>
        <w:pStyle w:val="Akapitzlist"/>
        <w:numPr>
          <w:ilvl w:val="0"/>
          <w:numId w:val="3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Dobór przewodów do obciążalności prądowej</w:t>
      </w:r>
    </w:p>
    <w:p w:rsidR="00422A39" w:rsidRPr="00C74B0E" w:rsidRDefault="00422A39" w:rsidP="00422A39">
      <w:pPr>
        <w:pStyle w:val="Akapitzlist"/>
        <w:numPr>
          <w:ilvl w:val="0"/>
          <w:numId w:val="3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Dobór i nastawy urządzeń ochronnych</w:t>
      </w:r>
    </w:p>
    <w:p w:rsidR="00422A39" w:rsidRPr="00C74B0E" w:rsidRDefault="00422A39" w:rsidP="00422A39">
      <w:pPr>
        <w:pStyle w:val="Akapitzlist"/>
        <w:numPr>
          <w:ilvl w:val="0"/>
          <w:numId w:val="3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Prawidłowe umieszczenie odpowiednich łączników</w:t>
      </w:r>
    </w:p>
    <w:p w:rsidR="00422A39" w:rsidRPr="00C74B0E" w:rsidRDefault="00422A39" w:rsidP="00422A39">
      <w:pPr>
        <w:pStyle w:val="Akapitzlist"/>
        <w:numPr>
          <w:ilvl w:val="0"/>
          <w:numId w:val="3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Dobór urządzeń w zależności od wpływów zewnętrznych</w:t>
      </w:r>
    </w:p>
    <w:p w:rsidR="00422A39" w:rsidRPr="00C74B0E" w:rsidRDefault="00422A39" w:rsidP="00422A39">
      <w:pPr>
        <w:pStyle w:val="Akapitzlist"/>
        <w:numPr>
          <w:ilvl w:val="0"/>
          <w:numId w:val="3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Oznaczenie przewodów N i PE</w:t>
      </w:r>
    </w:p>
    <w:p w:rsidR="00422A39" w:rsidRPr="00C74B0E" w:rsidRDefault="00422A39" w:rsidP="00422A39">
      <w:pPr>
        <w:pStyle w:val="Akapitzlist"/>
        <w:numPr>
          <w:ilvl w:val="0"/>
          <w:numId w:val="3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Umieszczenie schematów i tablic informacyjnych i ostrzegawczych</w:t>
      </w:r>
    </w:p>
    <w:p w:rsidR="00422A39" w:rsidRPr="00C74B0E" w:rsidRDefault="00422A39" w:rsidP="00422A39">
      <w:pPr>
        <w:pStyle w:val="Akapitzlist"/>
        <w:numPr>
          <w:ilvl w:val="0"/>
          <w:numId w:val="3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 xml:space="preserve"> Oznaczenie obwodów, bezpieczników, łączników, zasilania</w:t>
      </w:r>
    </w:p>
    <w:p w:rsidR="00422A39" w:rsidRPr="00C74B0E" w:rsidRDefault="00422A39" w:rsidP="00422A39">
      <w:pPr>
        <w:pStyle w:val="Akapitzlist"/>
        <w:numPr>
          <w:ilvl w:val="0"/>
          <w:numId w:val="3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 xml:space="preserve">Poprawność połączeń przewodów i kabli </w:t>
      </w:r>
    </w:p>
    <w:p w:rsidR="00422A39" w:rsidRPr="00C74B0E" w:rsidRDefault="00422A39" w:rsidP="00422A39">
      <w:pPr>
        <w:pStyle w:val="Akapitzlist"/>
        <w:numPr>
          <w:ilvl w:val="0"/>
          <w:numId w:val="3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Dostęp do urządzeń zapewniających obsługę i konserwację</w:t>
      </w:r>
    </w:p>
    <w:p w:rsidR="00422A39" w:rsidRPr="00DD087D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C74B0E" w:rsidRDefault="00422A39" w:rsidP="00422A39">
      <w:pPr>
        <w:pStyle w:val="Akapitzlist"/>
        <w:numPr>
          <w:ilvl w:val="0"/>
          <w:numId w:val="1"/>
        </w:numPr>
        <w:rPr>
          <w:rFonts w:ascii="Arial Narrow" w:hAnsi="Arial Narrow"/>
          <w:sz w:val="24"/>
          <w:szCs w:val="24"/>
        </w:rPr>
      </w:pPr>
      <w:r w:rsidRPr="00C74B0E">
        <w:rPr>
          <w:rFonts w:ascii="Arial Narrow" w:hAnsi="Arial Narrow"/>
          <w:sz w:val="24"/>
          <w:szCs w:val="24"/>
        </w:rPr>
        <w:t xml:space="preserve">Należy wykonać </w:t>
      </w:r>
    </w:p>
    <w:p w:rsidR="00422A39" w:rsidRPr="00C74B0E" w:rsidRDefault="00422A39" w:rsidP="00422A39">
      <w:pPr>
        <w:pStyle w:val="Akapitzlist"/>
        <w:numPr>
          <w:ilvl w:val="0"/>
          <w:numId w:val="4"/>
        </w:numPr>
        <w:rPr>
          <w:rFonts w:ascii="Arial Narrow" w:hAnsi="Arial Narrow"/>
          <w:sz w:val="24"/>
          <w:szCs w:val="24"/>
        </w:rPr>
      </w:pPr>
      <w:r w:rsidRPr="00C74B0E">
        <w:rPr>
          <w:rFonts w:ascii="Arial Narrow" w:hAnsi="Arial Narrow"/>
          <w:sz w:val="24"/>
          <w:szCs w:val="24"/>
        </w:rPr>
        <w:t xml:space="preserve">Konserwację rozdzielni NN ( czyszczenie pól, izolatorów, sprawdzenie </w:t>
      </w:r>
      <w:proofErr w:type="spellStart"/>
      <w:r w:rsidRPr="00C74B0E">
        <w:rPr>
          <w:rFonts w:ascii="Arial Narrow" w:hAnsi="Arial Narrow"/>
          <w:sz w:val="24"/>
          <w:szCs w:val="24"/>
        </w:rPr>
        <w:t>dokręceń</w:t>
      </w:r>
      <w:proofErr w:type="spellEnd"/>
      <w:r w:rsidRPr="00C74B0E">
        <w:rPr>
          <w:rFonts w:ascii="Arial Narrow" w:hAnsi="Arial Narrow"/>
          <w:sz w:val="24"/>
          <w:szCs w:val="24"/>
        </w:rPr>
        <w:t xml:space="preserve"> śrubowych- dokręcenie )</w:t>
      </w:r>
    </w:p>
    <w:p w:rsidR="00422A39" w:rsidRPr="00C74B0E" w:rsidRDefault="00422A39" w:rsidP="00422A39">
      <w:pPr>
        <w:pStyle w:val="Akapitzlist"/>
        <w:numPr>
          <w:ilvl w:val="0"/>
          <w:numId w:val="4"/>
        </w:numPr>
        <w:rPr>
          <w:rFonts w:ascii="Arial Narrow" w:hAnsi="Arial Narrow"/>
          <w:sz w:val="24"/>
          <w:szCs w:val="24"/>
        </w:rPr>
      </w:pPr>
      <w:r w:rsidRPr="00C74B0E">
        <w:rPr>
          <w:rFonts w:ascii="Arial Narrow" w:hAnsi="Arial Narrow"/>
          <w:sz w:val="24"/>
          <w:szCs w:val="24"/>
        </w:rPr>
        <w:t>Konserwację rozdzielni SN obie sekcje  ( czyszczenie pól, izolatorów, sprawdzenie dokręcenia, przesmarowanie połączeń śrubowych- dokręcenie )</w:t>
      </w:r>
    </w:p>
    <w:p w:rsidR="00422A39" w:rsidRPr="00C74B0E" w:rsidRDefault="00422A39" w:rsidP="00422A39">
      <w:pPr>
        <w:pStyle w:val="Akapitzlist"/>
        <w:numPr>
          <w:ilvl w:val="0"/>
          <w:numId w:val="4"/>
        </w:numPr>
        <w:rPr>
          <w:rFonts w:ascii="Arial Narrow" w:hAnsi="Arial Narrow"/>
          <w:sz w:val="24"/>
          <w:szCs w:val="24"/>
        </w:rPr>
      </w:pPr>
      <w:r w:rsidRPr="00C74B0E">
        <w:rPr>
          <w:rFonts w:ascii="Arial Narrow" w:hAnsi="Arial Narrow"/>
          <w:sz w:val="24"/>
          <w:szCs w:val="24"/>
        </w:rPr>
        <w:t>Konserwację komór transformatorów 1 i 2 ( dokonać czyszczenia komór transformatorów 1 i 2, sprawdzenie dokręcenia, przesmarowania połączeń śrubowych- dokręcenie )</w:t>
      </w:r>
    </w:p>
    <w:p w:rsidR="00422A39" w:rsidRPr="00C74B0E" w:rsidRDefault="00422A39" w:rsidP="00422A39">
      <w:pPr>
        <w:pStyle w:val="Akapitzlist"/>
        <w:numPr>
          <w:ilvl w:val="0"/>
          <w:numId w:val="4"/>
        </w:numPr>
        <w:rPr>
          <w:rFonts w:ascii="Arial Narrow" w:hAnsi="Arial Narrow"/>
          <w:sz w:val="24"/>
          <w:szCs w:val="24"/>
        </w:rPr>
      </w:pPr>
      <w:r w:rsidRPr="00C74B0E">
        <w:rPr>
          <w:rFonts w:ascii="Arial Narrow" w:hAnsi="Arial Narrow"/>
          <w:sz w:val="24"/>
          <w:szCs w:val="24"/>
        </w:rPr>
        <w:t xml:space="preserve">Sprawdzenie działania wentylacji rozdzielni NN, SN, komór transformatorów </w:t>
      </w:r>
    </w:p>
    <w:p w:rsidR="00422A39" w:rsidRPr="00C74B0E" w:rsidRDefault="00422A39" w:rsidP="00422A39">
      <w:pPr>
        <w:pStyle w:val="Akapitzlist"/>
        <w:numPr>
          <w:ilvl w:val="0"/>
          <w:numId w:val="4"/>
        </w:numPr>
        <w:rPr>
          <w:rFonts w:ascii="Arial Narrow" w:hAnsi="Arial Narrow"/>
          <w:sz w:val="24"/>
          <w:szCs w:val="24"/>
        </w:rPr>
      </w:pPr>
      <w:r w:rsidRPr="00C74B0E">
        <w:rPr>
          <w:rFonts w:ascii="Arial Narrow" w:hAnsi="Arial Narrow"/>
          <w:sz w:val="24"/>
          <w:szCs w:val="24"/>
        </w:rPr>
        <w:t xml:space="preserve">Aktualizacja opisów i schematów </w:t>
      </w:r>
    </w:p>
    <w:p w:rsidR="00422A39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Konserwacje, naprawę, sprawdzenie poprawności działania monitoringu elektronicznego</w:t>
      </w:r>
      <w:r>
        <w:rPr>
          <w:rFonts w:ascii="Arial Narrow" w:eastAsia="Times New Roman" w:hAnsi="Arial Narrow" w:cs="Segoe UI"/>
          <w:color w:val="000000"/>
          <w:sz w:val="24"/>
          <w:szCs w:val="24"/>
        </w:rPr>
        <w:t xml:space="preserve"> </w:t>
      </w: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przeprowadzenie naprawy i usprawnienie działania monitoringu, oprogramowania, sprawdzenia porównania odczytów w czasie rzeczywistym.</w:t>
      </w:r>
    </w:p>
    <w:p w:rsidR="00422A39" w:rsidRPr="00C74B0E" w:rsidRDefault="00422A39" w:rsidP="00422A39">
      <w:pPr>
        <w:spacing w:after="0" w:line="240" w:lineRule="auto"/>
        <w:ind w:left="405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C74B0E" w:rsidRDefault="00422A39" w:rsidP="00422A39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Zakres prób obejmuje:</w:t>
      </w:r>
    </w:p>
    <w:p w:rsidR="00422A39" w:rsidRPr="00C74B0E" w:rsidRDefault="00422A39" w:rsidP="00422A39">
      <w:pPr>
        <w:pStyle w:val="Akapitzlist"/>
        <w:spacing w:after="0" w:line="240" w:lineRule="auto"/>
        <w:ind w:left="1800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C74B0E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Sprawdzenie ciągłości przewodów ochronnych, w tym głównych i dodatkowych połączeń wyrównawczych</w:t>
      </w:r>
    </w:p>
    <w:p w:rsidR="00422A39" w:rsidRPr="00C74B0E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Sprawdzenie rezystancji izolacji instalacji elektrycznej</w:t>
      </w:r>
    </w:p>
    <w:p w:rsidR="00422A39" w:rsidRPr="00C74B0E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Sprawdzenie samoczynnego wyłączenia zasilania</w:t>
      </w:r>
    </w:p>
    <w:p w:rsidR="00422A39" w:rsidRPr="00C74B0E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Sprawdzenie biegunowości i kolejności faz</w:t>
      </w:r>
    </w:p>
    <w:p w:rsidR="00422A39" w:rsidRPr="00C74B0E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Sprawdzenie wytrzymałości elektrycznej</w:t>
      </w:r>
    </w:p>
    <w:p w:rsidR="00422A39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Dokonanie prób funkcjonalnych , poprawności działania automatyki</w:t>
      </w:r>
    </w:p>
    <w:p w:rsidR="00422A39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422A39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C74B0E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422A39" w:rsidRDefault="00422A39" w:rsidP="00422A3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422A39">
        <w:rPr>
          <w:rFonts w:ascii="Arial Narrow" w:eastAsia="Times New Roman" w:hAnsi="Arial Narrow" w:cs="Segoe UI"/>
          <w:color w:val="000000"/>
          <w:sz w:val="24"/>
          <w:szCs w:val="24"/>
        </w:rPr>
        <w:lastRenderedPageBreak/>
        <w:t>Rozdzielnice:</w:t>
      </w:r>
    </w:p>
    <w:p w:rsidR="00422A39" w:rsidRPr="00C74B0E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C74B0E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Sprawdzenie na zgodność z warunkami technicznymi przyłączenia i dokumentacją</w:t>
      </w:r>
    </w:p>
    <w:p w:rsidR="00422A39" w:rsidRPr="00C74B0E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Badanie i sprawdzenie poprawności działania układów automatyki SZR</w:t>
      </w:r>
    </w:p>
    <w:p w:rsidR="00422A39" w:rsidRPr="00C74B0E" w:rsidRDefault="00422A39" w:rsidP="00422A39">
      <w:pPr>
        <w:spacing w:after="0" w:line="240" w:lineRule="auto"/>
        <w:ind w:left="1440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260F40" w:rsidRDefault="00422A39" w:rsidP="00422A39">
      <w:pPr>
        <w:pStyle w:val="Akapitzlist"/>
        <w:numPr>
          <w:ilvl w:val="0"/>
          <w:numId w:val="5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nastawy czasów przełączeń</w:t>
      </w:r>
    </w:p>
    <w:p w:rsidR="00422A39" w:rsidRPr="00260F40" w:rsidRDefault="00422A39" w:rsidP="00422A39">
      <w:pPr>
        <w:pStyle w:val="Akapitzlist"/>
        <w:numPr>
          <w:ilvl w:val="0"/>
          <w:numId w:val="5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blokady elektryczne</w:t>
      </w:r>
    </w:p>
    <w:p w:rsidR="00422A39" w:rsidRPr="00260F40" w:rsidRDefault="00422A39" w:rsidP="00422A39">
      <w:pPr>
        <w:pStyle w:val="Akapitzlist"/>
        <w:numPr>
          <w:ilvl w:val="0"/>
          <w:numId w:val="5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blokady programowe</w:t>
      </w:r>
    </w:p>
    <w:p w:rsidR="00422A39" w:rsidRPr="00260F40" w:rsidRDefault="00422A39" w:rsidP="00422A39">
      <w:pPr>
        <w:pStyle w:val="Akapitzlist"/>
        <w:numPr>
          <w:ilvl w:val="0"/>
          <w:numId w:val="5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blokady mechaniczne</w:t>
      </w:r>
    </w:p>
    <w:p w:rsidR="00422A39" w:rsidRPr="00260F40" w:rsidRDefault="00422A39" w:rsidP="00422A39">
      <w:pPr>
        <w:pStyle w:val="Akapitzlist"/>
        <w:numPr>
          <w:ilvl w:val="0"/>
          <w:numId w:val="5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nastawy wyzwalaczy wyłączników</w:t>
      </w:r>
    </w:p>
    <w:p w:rsidR="00422A39" w:rsidRPr="00260F40" w:rsidRDefault="00422A39" w:rsidP="00422A39">
      <w:pPr>
        <w:pStyle w:val="Akapitzlist"/>
        <w:numPr>
          <w:ilvl w:val="0"/>
          <w:numId w:val="5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sprawdzenie układu połączeń na zgodność z diagramami w dokumentacji</w:t>
      </w:r>
    </w:p>
    <w:p w:rsidR="00422A39" w:rsidRPr="00260F40" w:rsidRDefault="00422A39" w:rsidP="00422A39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Sprawdzenie schematów i opisów umieszczonych w rozdzielniach ( aktualizacja)</w:t>
      </w:r>
    </w:p>
    <w:p w:rsidR="00422A39" w:rsidRPr="00260F40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260F40" w:rsidRDefault="00422A39" w:rsidP="00422A39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Sprawdzenie przyrostu temperatur na połączeniach torów prądowych i aparatach</w:t>
      </w:r>
    </w:p>
    <w:p w:rsidR="00422A39" w:rsidRPr="00260F40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260F40" w:rsidRDefault="00422A39" w:rsidP="00422A39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Pomiar , termowizja urządzeń w rozdzielniach NN, SN, komorach transformatorów ( wystawienie protokołu z pomiaru termowizji)</w:t>
      </w:r>
    </w:p>
    <w:p w:rsidR="00422A39" w:rsidRPr="00C74B0E" w:rsidRDefault="00422A39" w:rsidP="00422A39">
      <w:pPr>
        <w:pStyle w:val="Akapitzlist"/>
        <w:spacing w:after="0" w:line="240" w:lineRule="auto"/>
        <w:ind w:left="1800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260F40" w:rsidRDefault="00422A39" w:rsidP="00422A39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Pomiar obciążeń na torach prądowych</w:t>
      </w:r>
    </w:p>
    <w:p w:rsidR="00422A39" w:rsidRPr="00C74B0E" w:rsidRDefault="00422A39" w:rsidP="00422A39">
      <w:pPr>
        <w:pStyle w:val="Akapitzlist"/>
        <w:spacing w:after="0" w:line="240" w:lineRule="auto"/>
        <w:ind w:left="1800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260F40" w:rsidRDefault="00422A39" w:rsidP="00422A39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Sprawdzenie doboru zabezpieczeń dla kabli</w:t>
      </w:r>
    </w:p>
    <w:p w:rsidR="00422A39" w:rsidRPr="00260F40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Default="00422A39" w:rsidP="00422A39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Pomiar rezystancji</w:t>
      </w:r>
    </w:p>
    <w:p w:rsidR="00422A39" w:rsidRPr="00C74B0E" w:rsidRDefault="00422A39" w:rsidP="00422A39">
      <w:pPr>
        <w:pStyle w:val="Akapitzlist"/>
        <w:spacing w:after="0" w:line="240" w:lineRule="auto"/>
        <w:ind w:left="1800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260F40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Uziemień roboczych stacji</w:t>
      </w:r>
    </w:p>
    <w:p w:rsidR="00422A39" w:rsidRPr="00C74B0E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Uziemień ochronnych stacji</w:t>
      </w:r>
    </w:p>
    <w:p w:rsidR="00422A39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Ciągłości przewodów ochronny</w:t>
      </w:r>
      <w:r>
        <w:rPr>
          <w:rFonts w:ascii="Arial Narrow" w:eastAsia="Times New Roman" w:hAnsi="Arial Narrow" w:cs="Segoe UI"/>
          <w:color w:val="000000"/>
          <w:sz w:val="24"/>
          <w:szCs w:val="24"/>
        </w:rPr>
        <w:t>ch</w:t>
      </w:r>
    </w:p>
    <w:p w:rsidR="00422A39" w:rsidRPr="00260F40" w:rsidRDefault="00422A39" w:rsidP="00422A39">
      <w:pPr>
        <w:pStyle w:val="Akapitzlist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Default="00422A39" w:rsidP="00422A39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Badanie instalacji odgromowej</w:t>
      </w:r>
    </w:p>
    <w:p w:rsidR="00422A39" w:rsidRDefault="00422A39" w:rsidP="00422A39">
      <w:pPr>
        <w:pStyle w:val="Akapitzlist"/>
        <w:spacing w:after="0" w:line="240" w:lineRule="auto"/>
        <w:ind w:left="765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422A39" w:rsidRDefault="00422A39" w:rsidP="00422A39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Wykonanie prób funkcjonalnych układów SZR i automatyki zabezpieczeń</w:t>
      </w:r>
    </w:p>
    <w:p w:rsidR="00422A39" w:rsidRPr="00260F40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Default="00422A39" w:rsidP="00422A39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Transformatory</w:t>
      </w:r>
    </w:p>
    <w:p w:rsidR="00422A39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260F40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260F40">
        <w:rPr>
          <w:rFonts w:ascii="Arial Narrow" w:eastAsia="Times New Roman" w:hAnsi="Arial Narrow" w:cs="Segoe UI"/>
          <w:color w:val="000000"/>
          <w:sz w:val="24"/>
          <w:szCs w:val="24"/>
        </w:rPr>
        <w:t>Badanie transformatorów</w:t>
      </w:r>
      <w:r>
        <w:rPr>
          <w:rFonts w:ascii="Arial Narrow" w:eastAsia="Times New Roman" w:hAnsi="Arial Narrow" w:cs="Segoe UI"/>
          <w:color w:val="000000"/>
          <w:sz w:val="24"/>
          <w:szCs w:val="24"/>
        </w:rPr>
        <w:t>:</w:t>
      </w:r>
    </w:p>
    <w:p w:rsidR="00422A39" w:rsidRPr="00260F40" w:rsidRDefault="00422A39" w:rsidP="00422A39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260F40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Oględziny - ocena stanu technicznego</w:t>
      </w:r>
    </w:p>
    <w:p w:rsidR="00422A39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 xml:space="preserve">Wykonanie badania parametrów oleju transformatorowego w </w:t>
      </w:r>
      <w:proofErr w:type="spellStart"/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trafo</w:t>
      </w:r>
      <w:proofErr w:type="spellEnd"/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 xml:space="preserve"> 1 i 2 oraz sprawdzenie i uzupełnienie stanu oleju </w:t>
      </w:r>
    </w:p>
    <w:p w:rsidR="00422A39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Sprawdzenie</w:t>
      </w:r>
      <w:r>
        <w:rPr>
          <w:rFonts w:ascii="Arial Narrow" w:eastAsia="Times New Roman" w:hAnsi="Arial Narrow" w:cs="Segoe UI"/>
          <w:color w:val="000000"/>
          <w:sz w:val="24"/>
          <w:szCs w:val="24"/>
        </w:rPr>
        <w:t xml:space="preserve"> </w:t>
      </w:r>
    </w:p>
    <w:p w:rsidR="00422A39" w:rsidRPr="006E4B85" w:rsidRDefault="00422A39" w:rsidP="00422A39">
      <w:pPr>
        <w:pStyle w:val="Akapitzlist"/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Segoe UI"/>
          <w:color w:val="000000"/>
          <w:sz w:val="24"/>
          <w:szCs w:val="24"/>
        </w:rPr>
        <w:t>Uziemień</w:t>
      </w:r>
    </w:p>
    <w:p w:rsidR="00422A39" w:rsidRPr="006E4B85" w:rsidRDefault="00422A39" w:rsidP="00422A39">
      <w:pPr>
        <w:pStyle w:val="Akapitzlist"/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Segoe UI"/>
          <w:color w:val="000000"/>
          <w:sz w:val="24"/>
          <w:szCs w:val="24"/>
        </w:rPr>
        <w:t>Połączeń torów prądowych</w:t>
      </w:r>
    </w:p>
    <w:p w:rsidR="00422A39" w:rsidRDefault="00422A39" w:rsidP="00422A39">
      <w:pPr>
        <w:pStyle w:val="Akapitzlist"/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Segoe UI"/>
          <w:color w:val="000000"/>
          <w:sz w:val="24"/>
          <w:szCs w:val="24"/>
        </w:rPr>
        <w:t>Izolatorów stanu izolacji : GN - DN GN - DN + kadź, DN -GN + kadź</w:t>
      </w:r>
    </w:p>
    <w:p w:rsidR="00422A39" w:rsidRDefault="00422A39" w:rsidP="00422A39">
      <w:pPr>
        <w:pStyle w:val="Akapitzlist"/>
        <w:spacing w:after="0" w:line="240" w:lineRule="auto"/>
        <w:ind w:left="2985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Default="00422A39" w:rsidP="00422A39">
      <w:pPr>
        <w:pStyle w:val="Akapitzlist"/>
        <w:spacing w:after="0" w:line="240" w:lineRule="auto"/>
        <w:ind w:left="2985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Default="00422A39" w:rsidP="00422A39">
      <w:pPr>
        <w:pStyle w:val="Akapitzlist"/>
        <w:spacing w:after="0" w:line="240" w:lineRule="auto"/>
        <w:ind w:left="2985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Default="00422A39" w:rsidP="00422A39">
      <w:pPr>
        <w:pStyle w:val="Akapitzlist"/>
        <w:spacing w:after="0" w:line="240" w:lineRule="auto"/>
        <w:ind w:left="2985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Default="00422A39" w:rsidP="00422A39">
      <w:pPr>
        <w:pStyle w:val="Akapitzlist"/>
        <w:spacing w:after="0" w:line="240" w:lineRule="auto"/>
        <w:ind w:left="2985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6E4B85" w:rsidRDefault="00422A39" w:rsidP="00422A39">
      <w:pPr>
        <w:pStyle w:val="Akapitzlist"/>
        <w:spacing w:after="0" w:line="240" w:lineRule="auto"/>
        <w:ind w:left="2985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6E4B85" w:rsidRDefault="00422A39" w:rsidP="00422A39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Segoe UI"/>
          <w:color w:val="000000"/>
          <w:sz w:val="24"/>
          <w:szCs w:val="24"/>
        </w:rPr>
        <w:lastRenderedPageBreak/>
        <w:t>Sporządzenie dokumentacji z przeprowadzonego przeglądu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Część opisowa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Część obliczeniowa</w:t>
      </w:r>
    </w:p>
    <w:p w:rsidR="00422A39" w:rsidRPr="00C74B0E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C74B0E">
        <w:rPr>
          <w:rFonts w:ascii="Arial Narrow" w:eastAsia="Times New Roman" w:hAnsi="Arial Narrow" w:cs="Segoe UI"/>
          <w:color w:val="000000"/>
          <w:sz w:val="24"/>
          <w:szCs w:val="24"/>
        </w:rPr>
        <w:t>Część rysunkowa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Segoe UI"/>
          <w:color w:val="000000"/>
          <w:sz w:val="24"/>
          <w:szCs w:val="24"/>
        </w:rPr>
        <w:t>Protokoły z badań i pomiarów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Segoe UI"/>
          <w:color w:val="000000"/>
          <w:sz w:val="24"/>
          <w:szCs w:val="24"/>
        </w:rPr>
        <w:t>Ocena ogólna z wykonania przeglądu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422A39" w:rsidRPr="006E4B85" w:rsidRDefault="00422A39" w:rsidP="00422A39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Segoe UI"/>
          <w:color w:val="000000"/>
          <w:sz w:val="24"/>
          <w:szCs w:val="24"/>
        </w:rPr>
        <w:t>Baterie kondensatorów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Segoe UI"/>
          <w:color w:val="000000"/>
          <w:sz w:val="24"/>
          <w:szCs w:val="24"/>
        </w:rPr>
        <w:t>Sprawdzenie nastaw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>
        <w:rPr>
          <w:rFonts w:ascii="Arial Narrow" w:eastAsia="Times New Roman" w:hAnsi="Arial Narrow" w:cs="Arial"/>
          <w:color w:val="000000"/>
          <w:sz w:val="24"/>
          <w:szCs w:val="24"/>
        </w:rPr>
        <w:t>Cos Ø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>
        <w:rPr>
          <w:rFonts w:ascii="Arial Narrow" w:eastAsia="Times New Roman" w:hAnsi="Arial Narrow" w:cs="Arial"/>
          <w:color w:val="000000"/>
          <w:sz w:val="24"/>
          <w:szCs w:val="24"/>
        </w:rPr>
        <w:t>Czułości c/k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>Ilości wyjść aktywnych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>Nr szeregu regulacyjnego</w:t>
      </w:r>
    </w:p>
    <w:p w:rsidR="00422A39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 xml:space="preserve">Czas załączania </w:t>
      </w:r>
    </w:p>
    <w:p w:rsidR="00422A39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>Czas włączania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>
        <w:rPr>
          <w:rFonts w:ascii="Arial Narrow" w:eastAsia="Times New Roman" w:hAnsi="Arial Narrow" w:cs="Arial"/>
          <w:color w:val="000000"/>
          <w:sz w:val="24"/>
          <w:szCs w:val="24"/>
        </w:rPr>
        <w:t>Poziom THD ( I</w:t>
      </w: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 xml:space="preserve"> )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>Poziom THD ( U )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>Napięcie pomiarowe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>Czas blokady</w:t>
      </w:r>
    </w:p>
    <w:p w:rsidR="00422A39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 xml:space="preserve">Polaryzacja obwodu prądowego 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>Polaryzacja obwodu napięciowego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>Nr strefy c/k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>Sprawdzenie stanu kondensatorów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>Próba załączania stopni kondensatorów</w:t>
      </w:r>
    </w:p>
    <w:p w:rsidR="00422A39" w:rsidRPr="006E4B85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>Sprawdzenie stanu połączeń baterii</w:t>
      </w:r>
    </w:p>
    <w:p w:rsidR="00422A39" w:rsidRDefault="00422A39" w:rsidP="00422A39">
      <w:pPr>
        <w:pStyle w:val="Akapitzlist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 xml:space="preserve">Załączenie </w:t>
      </w:r>
      <w:r>
        <w:rPr>
          <w:rFonts w:ascii="Arial Narrow" w:eastAsia="Times New Roman" w:hAnsi="Arial Narrow" w:cs="Arial"/>
          <w:color w:val="000000"/>
          <w:sz w:val="24"/>
          <w:szCs w:val="24"/>
        </w:rPr>
        <w:t>baterii przy zmiennym obciążeniu</w:t>
      </w:r>
    </w:p>
    <w:p w:rsidR="00422A39" w:rsidRPr="006E4B85" w:rsidRDefault="00422A39" w:rsidP="00422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</w:p>
    <w:p w:rsidR="00422A39" w:rsidRPr="006E4B85" w:rsidRDefault="00422A39" w:rsidP="00422A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</w:rPr>
      </w:pPr>
      <w:r w:rsidRPr="006E4B85">
        <w:rPr>
          <w:rFonts w:ascii="Arial Narrow" w:eastAsia="Times New Roman" w:hAnsi="Arial Narrow" w:cs="Arial"/>
          <w:color w:val="000000"/>
          <w:sz w:val="24"/>
          <w:szCs w:val="24"/>
        </w:rPr>
        <w:t>17. W porozumieniu ze służbami energetycznymi 10 WSK dokonać niezbędnych korekt w nastawach</w:t>
      </w:r>
      <w:r>
        <w:rPr>
          <w:rFonts w:ascii="Arial Narrow" w:eastAsia="Times New Roman" w:hAnsi="Arial Narrow" w:cs="Arial"/>
          <w:color w:val="000000"/>
          <w:sz w:val="24"/>
          <w:szCs w:val="24"/>
        </w:rPr>
        <w:t xml:space="preserve"> i wykonać regulację urządzeń elektrycznych i energetycznych w przypadku stwierdzenia nieprawidłowości.</w:t>
      </w:r>
    </w:p>
    <w:p w:rsidR="00422A39" w:rsidRPr="00C74B0E" w:rsidRDefault="00422A39" w:rsidP="00422A39">
      <w:pPr>
        <w:pStyle w:val="Akapitzlist"/>
        <w:ind w:left="1800"/>
        <w:rPr>
          <w:rFonts w:ascii="Arial Narrow" w:hAnsi="Arial Narrow"/>
          <w:sz w:val="24"/>
          <w:szCs w:val="24"/>
        </w:rPr>
      </w:pPr>
    </w:p>
    <w:p w:rsidR="00254456" w:rsidRDefault="00254456"/>
    <w:sectPr w:rsidR="00254456" w:rsidSect="00B25C5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790" w:rsidRDefault="001F4790" w:rsidP="002A1FEB">
      <w:pPr>
        <w:spacing w:after="0" w:line="240" w:lineRule="auto"/>
      </w:pPr>
      <w:r>
        <w:separator/>
      </w:r>
    </w:p>
  </w:endnote>
  <w:endnote w:type="continuationSeparator" w:id="0">
    <w:p w:rsidR="001F4790" w:rsidRDefault="001F4790" w:rsidP="002A1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B51" w:rsidRDefault="006A3B5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B51" w:rsidRDefault="006A3B5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B51" w:rsidRDefault="006A3B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790" w:rsidRDefault="001F4790" w:rsidP="002A1FEB">
      <w:pPr>
        <w:spacing w:after="0" w:line="240" w:lineRule="auto"/>
      </w:pPr>
      <w:r>
        <w:separator/>
      </w:r>
    </w:p>
  </w:footnote>
  <w:footnote w:type="continuationSeparator" w:id="0">
    <w:p w:rsidR="001F4790" w:rsidRDefault="001F4790" w:rsidP="002A1F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B51" w:rsidRDefault="006A3B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B51" w:rsidRPr="006A3B51" w:rsidRDefault="006A3B51" w:rsidP="006A3B51">
    <w:pPr>
      <w:tabs>
        <w:tab w:val="left" w:pos="8365"/>
      </w:tabs>
      <w:spacing w:after="0" w:line="240" w:lineRule="auto"/>
      <w:jc w:val="right"/>
      <w:rPr>
        <w:rFonts w:ascii="Arial Narrow" w:eastAsia="Times New Roman" w:hAnsi="Arial Narrow" w:cs="Times New Roman"/>
        <w:sz w:val="24"/>
        <w:szCs w:val="24"/>
      </w:rPr>
    </w:pPr>
    <w:r w:rsidRPr="006A3B51">
      <w:rPr>
        <w:rFonts w:ascii="Arial Narrow" w:eastAsia="Times New Roman" w:hAnsi="Arial Narrow" w:cs="Times New Roman"/>
        <w:sz w:val="24"/>
        <w:szCs w:val="24"/>
      </w:rPr>
      <w:t xml:space="preserve">Załącznik nr </w:t>
    </w:r>
    <w:r w:rsidRPr="006A3B51">
      <w:rPr>
        <w:rFonts w:ascii="Arial Narrow" w:eastAsia="Times New Roman" w:hAnsi="Arial Narrow" w:cs="Times New Roman"/>
        <w:sz w:val="24"/>
        <w:szCs w:val="24"/>
      </w:rPr>
      <w:t>1</w:t>
    </w:r>
    <w:r>
      <w:rPr>
        <w:rFonts w:ascii="Arial Narrow" w:eastAsia="Times New Roman" w:hAnsi="Arial Narrow" w:cs="Times New Roman"/>
        <w:sz w:val="24"/>
        <w:szCs w:val="24"/>
      </w:rPr>
      <w:t>8</w:t>
    </w:r>
    <w:bookmarkStart w:id="0" w:name="_GoBack"/>
    <w:bookmarkEnd w:id="0"/>
  </w:p>
  <w:p w:rsidR="006A3B51" w:rsidRDefault="006A3B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B51" w:rsidRDefault="006A3B5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525C4"/>
    <w:multiLevelType w:val="hybridMultilevel"/>
    <w:tmpl w:val="3E56C02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37A5623B"/>
    <w:multiLevelType w:val="hybridMultilevel"/>
    <w:tmpl w:val="79D8D8FC"/>
    <w:lvl w:ilvl="0" w:tplc="04150017">
      <w:start w:val="1"/>
      <w:numFmt w:val="lowerLetter"/>
      <w:lvlText w:val="%1)"/>
      <w:lvlJc w:val="left"/>
      <w:pPr>
        <w:ind w:left="2790" w:hanging="360"/>
      </w:pPr>
    </w:lvl>
    <w:lvl w:ilvl="1" w:tplc="04150019" w:tentative="1">
      <w:start w:val="1"/>
      <w:numFmt w:val="lowerLetter"/>
      <w:lvlText w:val="%2."/>
      <w:lvlJc w:val="left"/>
      <w:pPr>
        <w:ind w:left="3510" w:hanging="360"/>
      </w:pPr>
    </w:lvl>
    <w:lvl w:ilvl="2" w:tplc="0415001B" w:tentative="1">
      <w:start w:val="1"/>
      <w:numFmt w:val="lowerRoman"/>
      <w:lvlText w:val="%3."/>
      <w:lvlJc w:val="right"/>
      <w:pPr>
        <w:ind w:left="4230" w:hanging="180"/>
      </w:pPr>
    </w:lvl>
    <w:lvl w:ilvl="3" w:tplc="0415000F" w:tentative="1">
      <w:start w:val="1"/>
      <w:numFmt w:val="decimal"/>
      <w:lvlText w:val="%4."/>
      <w:lvlJc w:val="left"/>
      <w:pPr>
        <w:ind w:left="4950" w:hanging="360"/>
      </w:pPr>
    </w:lvl>
    <w:lvl w:ilvl="4" w:tplc="04150019" w:tentative="1">
      <w:start w:val="1"/>
      <w:numFmt w:val="lowerLetter"/>
      <w:lvlText w:val="%5."/>
      <w:lvlJc w:val="left"/>
      <w:pPr>
        <w:ind w:left="5670" w:hanging="360"/>
      </w:pPr>
    </w:lvl>
    <w:lvl w:ilvl="5" w:tplc="0415001B" w:tentative="1">
      <w:start w:val="1"/>
      <w:numFmt w:val="lowerRoman"/>
      <w:lvlText w:val="%6."/>
      <w:lvlJc w:val="right"/>
      <w:pPr>
        <w:ind w:left="6390" w:hanging="180"/>
      </w:pPr>
    </w:lvl>
    <w:lvl w:ilvl="6" w:tplc="0415000F" w:tentative="1">
      <w:start w:val="1"/>
      <w:numFmt w:val="decimal"/>
      <w:lvlText w:val="%7."/>
      <w:lvlJc w:val="left"/>
      <w:pPr>
        <w:ind w:left="7110" w:hanging="360"/>
      </w:pPr>
    </w:lvl>
    <w:lvl w:ilvl="7" w:tplc="04150019" w:tentative="1">
      <w:start w:val="1"/>
      <w:numFmt w:val="lowerLetter"/>
      <w:lvlText w:val="%8."/>
      <w:lvlJc w:val="left"/>
      <w:pPr>
        <w:ind w:left="7830" w:hanging="360"/>
      </w:pPr>
    </w:lvl>
    <w:lvl w:ilvl="8" w:tplc="0415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2">
    <w:nsid w:val="43137423"/>
    <w:multiLevelType w:val="hybridMultilevel"/>
    <w:tmpl w:val="FB98A636"/>
    <w:lvl w:ilvl="0" w:tplc="33F23922">
      <w:start w:val="1"/>
      <w:numFmt w:val="bullet"/>
      <w:lvlText w:val=""/>
      <w:lvlJc w:val="left"/>
      <w:pPr>
        <w:ind w:left="29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3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0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745" w:hanging="360"/>
      </w:pPr>
      <w:rPr>
        <w:rFonts w:ascii="Wingdings" w:hAnsi="Wingdings" w:hint="default"/>
      </w:rPr>
    </w:lvl>
  </w:abstractNum>
  <w:abstractNum w:abstractNumId="3">
    <w:nsid w:val="526C4D12"/>
    <w:multiLevelType w:val="hybridMultilevel"/>
    <w:tmpl w:val="3AB6E396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570240D5"/>
    <w:multiLevelType w:val="hybridMultilevel"/>
    <w:tmpl w:val="E78EEB7E"/>
    <w:lvl w:ilvl="0" w:tplc="04150001">
      <w:start w:val="1"/>
      <w:numFmt w:val="bullet"/>
      <w:lvlText w:val=""/>
      <w:lvlJc w:val="left"/>
      <w:pPr>
        <w:ind w:left="17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5">
    <w:nsid w:val="7C6F134B"/>
    <w:multiLevelType w:val="hybridMultilevel"/>
    <w:tmpl w:val="AFDE6EAC"/>
    <w:lvl w:ilvl="0" w:tplc="04150001">
      <w:start w:val="1"/>
      <w:numFmt w:val="bullet"/>
      <w:lvlText w:val=""/>
      <w:lvlJc w:val="left"/>
      <w:pPr>
        <w:ind w:left="1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22A39"/>
    <w:rsid w:val="001F4790"/>
    <w:rsid w:val="00254456"/>
    <w:rsid w:val="002A1FEB"/>
    <w:rsid w:val="0031085C"/>
    <w:rsid w:val="00422A39"/>
    <w:rsid w:val="006A3B51"/>
    <w:rsid w:val="00E61561"/>
    <w:rsid w:val="00F30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15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2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A1F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1FEB"/>
  </w:style>
  <w:style w:type="paragraph" w:styleId="Stopka">
    <w:name w:val="footer"/>
    <w:basedOn w:val="Normalny"/>
    <w:link w:val="StopkaZnak"/>
    <w:uiPriority w:val="99"/>
    <w:unhideWhenUsed/>
    <w:rsid w:val="002A1F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1F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61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C90BEC-F991-4A56-B6C4-AA17AB19C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559</Words>
  <Characters>3357</Characters>
  <Application>Microsoft Office Word</Application>
  <DocSecurity>0</DocSecurity>
  <Lines>27</Lines>
  <Paragraphs>7</Paragraphs>
  <ScaleCrop>false</ScaleCrop>
  <Company/>
  <LinksUpToDate>false</LinksUpToDate>
  <CharactersWithSpaces>3909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2022-03-25T12:24:00Z</cp:lastPrinted>
  <dcterms:created xsi:type="dcterms:W3CDTF">2022-03-23T08:41:00Z</dcterms:created>
  <dcterms:modified xsi:type="dcterms:W3CDTF">2022-05-16T06:33:00Z</dcterms:modified>
</cp:coreProperties>
</file>