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6B51" w:rsidRDefault="004B23C1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E96B51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E96B51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E96B51">
        <w:rPr>
          <w:rFonts w:ascii="Arial Narrow" w:hAnsi="Arial Narrow" w:cs="Arial"/>
          <w:b/>
          <w:bCs/>
          <w:sz w:val="22"/>
          <w:szCs w:val="24"/>
        </w:rPr>
        <w:tab/>
      </w:r>
      <w:r w:rsidR="00E96B51">
        <w:rPr>
          <w:rFonts w:ascii="Arial Narrow" w:hAnsi="Arial Narrow" w:cs="Arial"/>
          <w:b/>
          <w:bCs/>
          <w:sz w:val="22"/>
          <w:szCs w:val="24"/>
        </w:rPr>
        <w:tab/>
      </w:r>
      <w:r w:rsidR="00E96B51">
        <w:rPr>
          <w:rFonts w:ascii="Arial Narrow" w:hAnsi="Arial Narrow" w:cs="Arial"/>
          <w:b/>
          <w:bCs/>
          <w:sz w:val="22"/>
          <w:szCs w:val="24"/>
        </w:rPr>
        <w:tab/>
      </w:r>
      <w:r w:rsidR="00E96B51">
        <w:rPr>
          <w:rFonts w:ascii="Arial Narrow" w:hAnsi="Arial Narrow" w:cs="Arial"/>
          <w:b/>
          <w:bCs/>
          <w:sz w:val="22"/>
          <w:szCs w:val="24"/>
        </w:rPr>
        <w:tab/>
      </w:r>
      <w:r w:rsidR="00E96B51">
        <w:rPr>
          <w:rFonts w:ascii="Arial Narrow" w:hAnsi="Arial Narrow" w:cs="Arial"/>
          <w:b/>
          <w:bCs/>
          <w:sz w:val="22"/>
          <w:szCs w:val="24"/>
        </w:rPr>
        <w:tab/>
      </w:r>
      <w:r w:rsidR="00E96B51">
        <w:rPr>
          <w:rFonts w:ascii="Arial Narrow" w:hAnsi="Arial Narrow" w:cs="Arial"/>
          <w:b/>
          <w:bCs/>
          <w:sz w:val="22"/>
          <w:szCs w:val="24"/>
        </w:rPr>
        <w:tab/>
      </w:r>
      <w:r w:rsidR="00E96B51" w:rsidRPr="00E96B51">
        <w:rPr>
          <w:rFonts w:ascii="Arial Narrow" w:hAnsi="Arial Narrow" w:cs="Arial"/>
          <w:sz w:val="22"/>
          <w:szCs w:val="24"/>
        </w:rPr>
        <w:t xml:space="preserve"> Bydgoszcz dnia: 2022-06-22</w:t>
      </w:r>
    </w:p>
    <w:p w:rsidR="006A5DF1" w:rsidRPr="00E96B51" w:rsidRDefault="004B23C1" w:rsidP="006A5DF1">
      <w:pPr>
        <w:rPr>
          <w:rFonts w:ascii="Arial Narrow" w:hAnsi="Arial Narrow" w:cs="Arial"/>
          <w:sz w:val="22"/>
          <w:szCs w:val="24"/>
        </w:rPr>
      </w:pPr>
      <w:r w:rsidRPr="00E96B51">
        <w:rPr>
          <w:rFonts w:ascii="Arial Narrow" w:hAnsi="Arial Narrow" w:cs="Arial"/>
          <w:sz w:val="22"/>
          <w:szCs w:val="24"/>
        </w:rPr>
        <w:t>Powstańców Warszawy</w:t>
      </w:r>
      <w:r w:rsidR="006A5DF1" w:rsidRPr="00E96B51">
        <w:rPr>
          <w:rFonts w:ascii="Arial Narrow" w:hAnsi="Arial Narrow" w:cs="Arial"/>
          <w:sz w:val="22"/>
          <w:szCs w:val="24"/>
        </w:rPr>
        <w:t xml:space="preserve"> </w:t>
      </w:r>
      <w:r w:rsidRPr="00E96B51">
        <w:rPr>
          <w:rFonts w:ascii="Arial Narrow" w:hAnsi="Arial Narrow" w:cs="Arial"/>
          <w:sz w:val="22"/>
          <w:szCs w:val="24"/>
        </w:rPr>
        <w:t>5</w:t>
      </w:r>
      <w:r w:rsidR="00E96B51" w:rsidRPr="00E96B51">
        <w:rPr>
          <w:rFonts w:ascii="Arial Narrow" w:hAnsi="Arial Narrow" w:cs="Arial"/>
          <w:sz w:val="22"/>
          <w:szCs w:val="24"/>
        </w:rPr>
        <w:t xml:space="preserve"> </w:t>
      </w:r>
    </w:p>
    <w:p w:rsidR="006A5DF1" w:rsidRPr="00E96B51" w:rsidRDefault="004B23C1" w:rsidP="006A5DF1">
      <w:pPr>
        <w:rPr>
          <w:rFonts w:ascii="Arial Narrow" w:hAnsi="Arial Narrow" w:cs="Arial"/>
          <w:sz w:val="22"/>
          <w:szCs w:val="24"/>
        </w:rPr>
      </w:pPr>
      <w:r w:rsidRPr="00E96B51">
        <w:rPr>
          <w:rFonts w:ascii="Arial Narrow" w:hAnsi="Arial Narrow" w:cs="Arial"/>
          <w:sz w:val="22"/>
          <w:szCs w:val="24"/>
        </w:rPr>
        <w:t>85-681</w:t>
      </w:r>
      <w:r w:rsidR="006A5DF1" w:rsidRPr="00E96B51">
        <w:rPr>
          <w:rFonts w:ascii="Arial Narrow" w:hAnsi="Arial Narrow" w:cs="Arial"/>
          <w:sz w:val="22"/>
          <w:szCs w:val="24"/>
        </w:rPr>
        <w:t xml:space="preserve"> </w:t>
      </w:r>
      <w:r w:rsidRPr="00E96B51">
        <w:rPr>
          <w:rFonts w:ascii="Arial Narrow" w:hAnsi="Arial Narrow" w:cs="Arial"/>
          <w:sz w:val="22"/>
          <w:szCs w:val="24"/>
        </w:rPr>
        <w:t>Bydgoszcz</w:t>
      </w:r>
    </w:p>
    <w:p w:rsidR="006A5DF1" w:rsidRPr="00E96B5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E96B51" w:rsidRPr="00A5296C" w:rsidRDefault="00E96B51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 w:rsidRPr="00A5296C">
        <w:rPr>
          <w:rFonts w:ascii="Arial Narrow" w:hAnsi="Arial Narrow" w:cs="Arial"/>
          <w:b/>
          <w:sz w:val="22"/>
          <w:szCs w:val="24"/>
        </w:rPr>
        <w:t>Pismo:</w:t>
      </w:r>
      <w:r w:rsidR="00374983">
        <w:rPr>
          <w:rFonts w:ascii="Arial Narrow" w:hAnsi="Arial Narrow" w:cs="Arial"/>
          <w:b/>
          <w:sz w:val="22"/>
          <w:szCs w:val="24"/>
        </w:rPr>
        <w:t xml:space="preserve"> 5179/22</w:t>
      </w:r>
    </w:p>
    <w:p w:rsidR="006A5DF1" w:rsidRPr="00A5296C" w:rsidRDefault="00E96B51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 w:rsidRPr="00A5296C">
        <w:rPr>
          <w:rFonts w:ascii="Arial Narrow" w:hAnsi="Arial Narrow" w:cs="Arial"/>
          <w:b/>
          <w:sz w:val="22"/>
          <w:szCs w:val="24"/>
        </w:rPr>
        <w:t>Sprawa nr: 77/2022</w:t>
      </w:r>
      <w:r w:rsidR="006A5DF1" w:rsidRPr="00A5296C">
        <w:rPr>
          <w:rFonts w:ascii="Arial Narrow" w:hAnsi="Arial Narrow" w:cs="Arial"/>
          <w:b/>
          <w:sz w:val="22"/>
          <w:szCs w:val="24"/>
        </w:rPr>
        <w:tab/>
        <w:t xml:space="preserve"> </w:t>
      </w:r>
    </w:p>
    <w:p w:rsidR="006A5DF1" w:rsidRPr="00E96B5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E96B51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E96B5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E96B51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D4AB3" w:rsidRPr="00E96B51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32C3C" w:rsidRPr="00E96B51" w:rsidRDefault="00E21B49" w:rsidP="005D606D">
      <w:pPr>
        <w:pStyle w:val="Nagwek1"/>
        <w:spacing w:after="24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E96B51">
        <w:rPr>
          <w:rFonts w:ascii="Arial Narrow" w:hAnsi="Arial Narrow" w:cs="Arial"/>
          <w:sz w:val="24"/>
          <w:szCs w:val="28"/>
        </w:rPr>
        <w:t>WYJAŚNIENI</w:t>
      </w:r>
      <w:r w:rsidR="00520165" w:rsidRPr="00E96B51">
        <w:rPr>
          <w:rFonts w:ascii="Arial Narrow" w:hAnsi="Arial Narrow" w:cs="Arial"/>
          <w:sz w:val="24"/>
          <w:szCs w:val="28"/>
        </w:rPr>
        <w:t>A</w:t>
      </w:r>
      <w:r w:rsidR="00632C3C" w:rsidRPr="00E96B51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E96B51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E96B51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E96B51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E96B51">
        <w:rPr>
          <w:rFonts w:ascii="Arial Narrow" w:hAnsi="Arial Narrow" w:cs="Arial"/>
          <w:sz w:val="22"/>
          <w:szCs w:val="24"/>
        </w:rPr>
        <w:t>p</w:t>
      </w:r>
      <w:r w:rsidRPr="00E96B51">
        <w:rPr>
          <w:rFonts w:ascii="Arial Narrow" w:hAnsi="Arial Narrow" w:cs="Arial"/>
          <w:sz w:val="22"/>
          <w:szCs w:val="24"/>
        </w:rPr>
        <w:t>ostępowani</w:t>
      </w:r>
      <w:r w:rsidR="006A5DF1" w:rsidRPr="00E96B51">
        <w:rPr>
          <w:rFonts w:ascii="Arial Narrow" w:hAnsi="Arial Narrow" w:cs="Arial"/>
          <w:sz w:val="22"/>
          <w:szCs w:val="24"/>
        </w:rPr>
        <w:t>a</w:t>
      </w:r>
      <w:r w:rsidRPr="00E96B51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E96B51">
        <w:rPr>
          <w:rFonts w:ascii="Arial Narrow" w:hAnsi="Arial Narrow" w:cs="Arial"/>
          <w:sz w:val="22"/>
          <w:szCs w:val="24"/>
        </w:rPr>
        <w:t>go</w:t>
      </w:r>
      <w:r w:rsidRPr="00E96B51">
        <w:rPr>
          <w:rFonts w:ascii="Arial Narrow" w:hAnsi="Arial Narrow" w:cs="Arial"/>
          <w:sz w:val="22"/>
          <w:szCs w:val="24"/>
        </w:rPr>
        <w:t xml:space="preserve"> w trybie </w:t>
      </w:r>
      <w:r w:rsidR="004B23C1" w:rsidRPr="00E96B51">
        <w:rPr>
          <w:rFonts w:ascii="Arial Narrow" w:hAnsi="Arial Narrow" w:cs="Arial"/>
          <w:sz w:val="22"/>
          <w:szCs w:val="24"/>
        </w:rPr>
        <w:t>przetarg</w:t>
      </w:r>
      <w:r w:rsidR="00A5296C">
        <w:rPr>
          <w:rFonts w:ascii="Arial Narrow" w:hAnsi="Arial Narrow" w:cs="Arial"/>
          <w:sz w:val="22"/>
          <w:szCs w:val="24"/>
        </w:rPr>
        <w:t>u</w:t>
      </w:r>
      <w:r w:rsidR="004B23C1" w:rsidRPr="00E96B51">
        <w:rPr>
          <w:rFonts w:ascii="Arial Narrow" w:hAnsi="Arial Narrow" w:cs="Arial"/>
          <w:sz w:val="22"/>
          <w:szCs w:val="24"/>
        </w:rPr>
        <w:t xml:space="preserve"> nieograniczon</w:t>
      </w:r>
      <w:r w:rsidR="00A5296C">
        <w:rPr>
          <w:rFonts w:ascii="Arial Narrow" w:hAnsi="Arial Narrow" w:cs="Arial"/>
          <w:sz w:val="22"/>
          <w:szCs w:val="24"/>
        </w:rPr>
        <w:t>ego</w:t>
      </w:r>
      <w:r w:rsidRPr="00E96B51">
        <w:rPr>
          <w:rFonts w:ascii="Arial Narrow" w:hAnsi="Arial Narrow" w:cs="Arial"/>
          <w:b/>
          <w:sz w:val="22"/>
          <w:szCs w:val="24"/>
        </w:rPr>
        <w:t xml:space="preserve"> </w:t>
      </w:r>
      <w:r w:rsidRPr="00E96B51">
        <w:rPr>
          <w:rFonts w:ascii="Arial Narrow" w:hAnsi="Arial Narrow" w:cs="Arial"/>
          <w:bCs/>
          <w:sz w:val="22"/>
          <w:szCs w:val="24"/>
        </w:rPr>
        <w:t>na</w:t>
      </w:r>
      <w:r w:rsidRPr="00E96B51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E96B51">
        <w:rPr>
          <w:rFonts w:ascii="Arial Narrow" w:hAnsi="Arial Narrow" w:cs="Arial"/>
          <w:bCs/>
          <w:sz w:val="22"/>
          <w:szCs w:val="24"/>
        </w:rPr>
        <w:t>”</w:t>
      </w:r>
      <w:r w:rsidR="004B23C1" w:rsidRPr="00E96B51">
        <w:rPr>
          <w:rFonts w:ascii="Arial Narrow" w:hAnsi="Arial Narrow" w:cs="Arial"/>
          <w:b/>
          <w:bCs/>
          <w:sz w:val="22"/>
          <w:szCs w:val="24"/>
        </w:rPr>
        <w:t>Dostawa wieży endoskopowej</w:t>
      </w:r>
      <w:r w:rsidR="00E72428" w:rsidRPr="00E96B51">
        <w:rPr>
          <w:rFonts w:ascii="Arial Narrow" w:hAnsi="Arial Narrow" w:cs="Arial"/>
          <w:bCs/>
          <w:sz w:val="22"/>
          <w:szCs w:val="24"/>
        </w:rPr>
        <w:t>”</w:t>
      </w:r>
      <w:r w:rsidRPr="00E96B51">
        <w:rPr>
          <w:rFonts w:ascii="Arial Narrow" w:hAnsi="Arial Narrow" w:cs="Arial"/>
          <w:b/>
          <w:sz w:val="22"/>
          <w:szCs w:val="24"/>
        </w:rPr>
        <w:t xml:space="preserve"> </w:t>
      </w:r>
      <w:r w:rsidRPr="00E96B51">
        <w:rPr>
          <w:rFonts w:ascii="Arial Narrow" w:hAnsi="Arial Narrow" w:cs="Arial"/>
          <w:bCs/>
          <w:sz w:val="22"/>
          <w:szCs w:val="24"/>
        </w:rPr>
        <w:t>– znak sprawy</w:t>
      </w:r>
      <w:r w:rsidRPr="00E96B51">
        <w:rPr>
          <w:rFonts w:ascii="Arial Narrow" w:hAnsi="Arial Narrow" w:cs="Arial"/>
          <w:b/>
          <w:sz w:val="22"/>
          <w:szCs w:val="24"/>
        </w:rPr>
        <w:t xml:space="preserve"> </w:t>
      </w:r>
      <w:r w:rsidR="004B23C1" w:rsidRPr="00E96B51">
        <w:rPr>
          <w:rFonts w:ascii="Arial Narrow" w:hAnsi="Arial Narrow" w:cs="Arial"/>
          <w:b/>
          <w:sz w:val="22"/>
          <w:szCs w:val="24"/>
        </w:rPr>
        <w:t>77/2022</w:t>
      </w:r>
      <w:r w:rsidRPr="00E96B51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E96B51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E96B51">
        <w:rPr>
          <w:rFonts w:ascii="Arial Narrow" w:hAnsi="Arial Narrow" w:cs="Arial"/>
          <w:sz w:val="22"/>
          <w:szCs w:val="24"/>
        </w:rPr>
        <w:t xml:space="preserve">Zamawiający, </w:t>
      </w:r>
      <w:r w:rsidR="004B23C1" w:rsidRPr="00E96B51">
        <w:rPr>
          <w:rFonts w:ascii="Arial Narrow" w:hAnsi="Arial Narrow" w:cs="Arial"/>
          <w:b/>
          <w:sz w:val="22"/>
          <w:szCs w:val="24"/>
        </w:rPr>
        <w:t>10WSzKzP SPZOZ</w:t>
      </w:r>
      <w:r w:rsidRPr="00E96B5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E96B51">
        <w:rPr>
          <w:rFonts w:ascii="Arial Narrow" w:hAnsi="Arial Narrow" w:cs="Arial"/>
          <w:sz w:val="22"/>
          <w:szCs w:val="24"/>
        </w:rPr>
        <w:t>1</w:t>
      </w:r>
      <w:r w:rsidRPr="00E96B51">
        <w:rPr>
          <w:rFonts w:ascii="Arial Narrow" w:hAnsi="Arial Narrow" w:cs="Arial"/>
          <w:sz w:val="22"/>
          <w:szCs w:val="24"/>
        </w:rPr>
        <w:t>3</w:t>
      </w:r>
      <w:r w:rsidR="0029606A" w:rsidRPr="00E96B51">
        <w:rPr>
          <w:rFonts w:ascii="Arial Narrow" w:hAnsi="Arial Narrow" w:cs="Arial"/>
          <w:sz w:val="22"/>
          <w:szCs w:val="24"/>
        </w:rPr>
        <w:t>5</w:t>
      </w:r>
      <w:r w:rsidRPr="00E96B51">
        <w:rPr>
          <w:rFonts w:ascii="Arial Narrow" w:hAnsi="Arial Narrow" w:cs="Arial"/>
          <w:sz w:val="22"/>
          <w:szCs w:val="24"/>
        </w:rPr>
        <w:t xml:space="preserve"> ust</w:t>
      </w:r>
      <w:r w:rsidR="00D9049C" w:rsidRPr="00E96B51">
        <w:rPr>
          <w:rFonts w:ascii="Arial Narrow" w:hAnsi="Arial Narrow" w:cs="Arial"/>
          <w:sz w:val="22"/>
          <w:szCs w:val="24"/>
        </w:rPr>
        <w:t xml:space="preserve">. </w:t>
      </w:r>
      <w:r w:rsidR="0029606A" w:rsidRPr="00E96B51">
        <w:rPr>
          <w:rFonts w:ascii="Arial Narrow" w:hAnsi="Arial Narrow" w:cs="Arial"/>
          <w:sz w:val="22"/>
          <w:szCs w:val="24"/>
        </w:rPr>
        <w:t>6</w:t>
      </w:r>
      <w:r w:rsidRPr="00E96B5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E96B51">
        <w:rPr>
          <w:rFonts w:ascii="Arial Narrow" w:hAnsi="Arial Narrow" w:cs="Arial"/>
          <w:sz w:val="22"/>
          <w:szCs w:val="24"/>
        </w:rPr>
        <w:t>11</w:t>
      </w:r>
      <w:r w:rsidRPr="00E96B51">
        <w:rPr>
          <w:rFonts w:ascii="Arial Narrow" w:hAnsi="Arial Narrow" w:cs="Arial"/>
          <w:sz w:val="22"/>
          <w:szCs w:val="24"/>
        </w:rPr>
        <w:t xml:space="preserve"> </w:t>
      </w:r>
      <w:r w:rsidR="0029606A" w:rsidRPr="00E96B51">
        <w:rPr>
          <w:rFonts w:ascii="Arial Narrow" w:hAnsi="Arial Narrow" w:cs="Arial"/>
          <w:sz w:val="22"/>
          <w:szCs w:val="24"/>
        </w:rPr>
        <w:t xml:space="preserve">września </w:t>
      </w:r>
      <w:r w:rsidRPr="00E96B51">
        <w:rPr>
          <w:rFonts w:ascii="Arial Narrow" w:hAnsi="Arial Narrow" w:cs="Arial"/>
          <w:sz w:val="22"/>
          <w:szCs w:val="24"/>
        </w:rPr>
        <w:t>20</w:t>
      </w:r>
      <w:r w:rsidR="0029606A" w:rsidRPr="00E96B51">
        <w:rPr>
          <w:rFonts w:ascii="Arial Narrow" w:hAnsi="Arial Narrow" w:cs="Arial"/>
          <w:sz w:val="22"/>
          <w:szCs w:val="24"/>
        </w:rPr>
        <w:t>19</w:t>
      </w:r>
      <w:r w:rsidRPr="00E96B51">
        <w:rPr>
          <w:rFonts w:ascii="Arial Narrow" w:hAnsi="Arial Narrow" w:cs="Arial"/>
          <w:sz w:val="22"/>
          <w:szCs w:val="24"/>
        </w:rPr>
        <w:t xml:space="preserve"> r</w:t>
      </w:r>
      <w:r w:rsidR="0029606A" w:rsidRPr="00E96B51">
        <w:rPr>
          <w:rFonts w:ascii="Arial Narrow" w:hAnsi="Arial Narrow" w:cs="Arial"/>
          <w:sz w:val="22"/>
          <w:szCs w:val="24"/>
        </w:rPr>
        <w:t>.</w:t>
      </w:r>
      <w:r w:rsidRPr="00E96B5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E96B51">
        <w:rPr>
          <w:rFonts w:ascii="Arial Narrow" w:hAnsi="Arial Narrow" w:cs="Arial"/>
          <w:sz w:val="22"/>
          <w:szCs w:val="24"/>
        </w:rPr>
        <w:t>z</w:t>
      </w:r>
      <w:r w:rsidRPr="00E96B5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E96B51">
        <w:rPr>
          <w:rFonts w:ascii="Arial Narrow" w:hAnsi="Arial Narrow" w:cs="Arial"/>
          <w:sz w:val="22"/>
          <w:szCs w:val="24"/>
        </w:rPr>
        <w:t>p</w:t>
      </w:r>
      <w:r w:rsidRPr="00E96B51">
        <w:rPr>
          <w:rFonts w:ascii="Arial Narrow" w:hAnsi="Arial Narrow" w:cs="Arial"/>
          <w:sz w:val="22"/>
          <w:szCs w:val="24"/>
        </w:rPr>
        <w:t xml:space="preserve">ublicznych </w:t>
      </w:r>
      <w:r w:rsidR="004B23C1" w:rsidRPr="00E96B51">
        <w:rPr>
          <w:rFonts w:ascii="Arial Narrow" w:hAnsi="Arial Narrow" w:cs="Arial"/>
          <w:sz w:val="22"/>
          <w:szCs w:val="24"/>
        </w:rPr>
        <w:t>(t.j. Dz.U. z 2021r. poz. 1129 z późn. zm.)</w:t>
      </w:r>
      <w:r w:rsidR="00BE7BFD" w:rsidRPr="00E96B51">
        <w:rPr>
          <w:rFonts w:ascii="Arial Narrow" w:hAnsi="Arial Narrow" w:cs="Arial"/>
          <w:sz w:val="22"/>
          <w:szCs w:val="24"/>
        </w:rPr>
        <w:t xml:space="preserve">, </w:t>
      </w:r>
      <w:r w:rsidR="00D9049C" w:rsidRPr="00E96B51">
        <w:rPr>
          <w:rFonts w:ascii="Arial Narrow" w:hAnsi="Arial Narrow" w:cs="Arial"/>
          <w:sz w:val="22"/>
          <w:szCs w:val="24"/>
        </w:rPr>
        <w:t>udostępnia</w:t>
      </w:r>
      <w:r w:rsidR="00BE7BFD" w:rsidRPr="00E96B5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E96B5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E96B5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E96B5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E96B5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E96B5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E96B51">
        <w:rPr>
          <w:rFonts w:ascii="Arial Narrow" w:hAnsi="Arial Narrow" w:cs="Arial"/>
          <w:sz w:val="22"/>
          <w:szCs w:val="24"/>
        </w:rPr>
        <w:t>wraz z wyjaśnieniami</w:t>
      </w:r>
      <w:r w:rsidR="0012774F" w:rsidRPr="00E96B5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23C1" w:rsidRPr="00E96B51" w:rsidTr="00756718">
        <w:tc>
          <w:tcPr>
            <w:tcW w:w="9356" w:type="dxa"/>
            <w:shd w:val="clear" w:color="auto" w:fill="auto"/>
          </w:tcPr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E96B5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Pytanie do punktu 1 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Czy Zamawiający dopuści procesor z możliwością wyboru standardu obrazowanie spośród: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HDTV1080p, SXGA, SDTV? Obrazowanie w jakości HDTV1080p (progresywne) jest lepsze niż HDTV1080i (interpolowane).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Pytanie  do punktu 3 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zrezygnuje z wymogu analogowego wyjścia HDTV1080: RGB ? Technologia ta nie jest już wykorzystywana, a jest charakterystyczna tylko dla jednego producenta sprzętu endoskopowego. 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 i oświadcza iż będzie korzystał z analogowego wyjścia HDTV1080: RGB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Pytanie  do punktu 5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zrezygnuje z wymogu wejścia HDTV: HD- SDI w procesorze? Wymóg ten spełnia wyspecyfikowany monitor.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 i oświadcza iż będzie korzystał z wejścia  HDTV: HD- SDI w procesorze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Pytanie do punktu 6 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Czy Zamawiający dopuści procesor z wyjściami komunikacyjnymi Ethernet/DICOM jako standard obecnie stosowany w medycynie do zapisu badań endoskopowych, bez wyjścia Firewire?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 i oświadcza iż będzie korzystał z wyjścia Firewire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7, 8 i 9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procesor z menu dla użytkownika w języku polskim, reszta menu bez znaków diakrytycznych (ą,ę,ć,ł,ń,ó,ż), znaki te są obsługiwane w systemie archiwizacji badań DICOM oraz obsłudze polskich nazwisk listy pacjentów - WORKLIST?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19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Zamawiający dopuści procesor obrazu z dwoma przyciskami programowalnymi na panelu przednim procesora, oraz dedykowaną klawiaturą funkcyjną z przypisanym wszystkimi funkcjami procesora?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20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zrezygnuje z wymogu kompatybilności z posiadanymi przez pracownię endoskopami  EXERA, ponieważ celem przetargu publicznego jest wyłonienie najlepszej oferty od kilku oferentów, a taki zapis uniemożliwia złożenie oferty innym firmom w przetargu.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A5296C" w:rsidRP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SWZ. Zamawiający nie zmieni faktu posiadania endoskopów EXERA i chęci korzystania z nich w oparciu o nową wieżę endoskopową.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21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współpracę z posiadanym przez pracownię systemem Endobase, w niepełnym zakresie funkcjonalności, nie wpływającym na archiwizację badań i zdjęć z przeprowadzonych procedur? 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Źródło Światła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22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źródło światła LED min. 1400lm (8-10 lat pracy), charakteryzujące się lepszymi parametrami? Lampy LED, świecą wielokrotnie dłużej niż lampy Xenonowej i umożliwiają stosowanie większej liczby barwienia światłem, co wpływa znacząco na obniżenie kosztów eksploatacji ale przede wszystkim podnosi poziom diagnostyki. Ksenon 300W jest w obecnych czasach przestarzałym rozwiązaniem.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SWZ.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24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zrezygnuje z wymogu zapasowej żarówki halogenowej, na rzecz źródła światła składającego się z zasilanych niezależnie 4 diod LED? Producent nie przewiduje jednoczesnej awarii wszystkich 4 diod, dlatego funkcję zapasowej żarówki pełnią pozostałe działające diody.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26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Czy Zamawiający dopuści ręczną regulacja mocy światła +/- 10 stopni?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29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zrezygnuje z wymogu kompatybilności z posiadanymi przez pracownię endoskopami  EXERA, ponieważ celem przetargu publicznego jest wyłonienie najlepszej oferty od kilku oferentów, a taki zapis uniemożliwia złożenie oferty innym firmom w przetargu.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SWZ. Zamawiający nie zmieni faktu posiadania endoskopów EXERA i chęci korzystania z nich w oparciu o nową wieżę endoskopową.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Dotyczy wideogastroskopu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50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wideogastroskop o średnicy całej sondy endoskopowej 10,8 mm oraz o grubości końcówki 10,5 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51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wideogastroskop o średnicy kanału roboczego 3,8mm?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lastRenderedPageBreak/>
              <w:t>Pytanie do punktu 57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wideogastroskop o długości 1100 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Dotyczy videokolonoskopu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62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wideokolonoskop  o lepszym parametrze czyli o średnicy całej sondy endoskopowej 12,0 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63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wideokolonoskop  o lepszym parametrze czyli o średnicy grubości sondy endoskopowej 12,0 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64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wideokolonoskop o średnicy kanału roboczego 3,8mm?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73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wideokolonoskop o długości 1690 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75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zrezygnuje z tego wymogu, ponieważ w zestawie nie został wyspecyfikowany system do pozycjonowania ułożenia endoskopu i w związku z tym ta funkcja i tak nie będzie wykorzystywana.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</w:t>
            </w:r>
            <w:r w:rsid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wiający </w:t>
            </w:r>
            <w:r w:rsidR="00885137">
              <w:rPr>
                <w:rFonts w:ascii="Arial Narrow" w:hAnsi="Arial Narrow" w:cs="Arial"/>
                <w:b/>
                <w:sz w:val="22"/>
                <w:szCs w:val="22"/>
              </w:rPr>
              <w:t>podtrzymuje dotychczasowe zapisy swz.</w:t>
            </w:r>
            <w:r w:rsid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Dotyczy wideokolonoskopu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79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wideokolonoskop  o lepszym parametrze czyli o średnicy całej sondy endoskopowej 12,0 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80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wideokolonoskop  o lepszym parametrze czyli o średnicy grubości sondy endoskopowej 12,0 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81</w:t>
            </w:r>
          </w:p>
          <w:p w:rsid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wideokolonoskop o średnicy kanału roboczego 3,8mm?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84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Czy Zamawiający dopuści wideokolonoskop  o lepszym parametrze czyli o polu widzenia 170° ? Kąt ten znacząco eliminuje możliwość pominięcia polipów, zawłaszcza za fałdami jelita, co podnosi możliwości diagnostyczne aparatu.  Kąt ten jest wymagany przy poprzednim kolonoskopie.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 pod warunkiem spełniania pozostałych wymagań SWZ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lastRenderedPageBreak/>
              <w:t>Pytanie do punktu 88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wideokolonoskop o długości 1690 mm?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 pod warunkiem spełniania pozostałych wymagań SWZ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Dotyczy systemu insuflacji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92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insuflator o kompaktowym rozmiarze umożliwiającym ustawienie go na wózku endoskopowym?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 pod warunkiem spełniania pozostałych wymagań SWZ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94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Czy Zamawiający dopuści insuflator o lepszym parametrze, czyli o precyzyjnej regulacji czasu przepływu gazy? W insuflatorze, który chcemy zaproponować to operator decyduje o długości podawania gazu.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 pod warunkiem spełniania pozostałych wymagań SWZ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95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insuflator z butelką woda-gaz kompatybilną z oferowanym procesorem oraz endoskopami, która umożliwia insuflację CO2? 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 pod warunkiem spełniania pozostałych wymagań SWZ, </w:t>
            </w:r>
            <w:r w:rsidR="00A5296C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a szczególności kompatybilności z posiadanymi przez Zamawiającego endoskopami EXERA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Pytanie do punktu 96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 xml:space="preserve">Czy Zamawiający dopuści insuflator z zaworem woda-powietrze ( 4 szt.) kompatybilne z oferowanymi endoskopami, które umożliwia sterowanie pompą CO2 oraz przeciwdziałające wydostawaniu się CO2 do powietrza? </w:t>
            </w:r>
          </w:p>
          <w:p w:rsidR="004B23C1" w:rsidRDefault="004B23C1" w:rsidP="005D60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pod warunkiem spełniania pozostałych wymagań SWZ</w:t>
            </w:r>
          </w:p>
          <w:p w:rsidR="005D606D" w:rsidRPr="005D606D" w:rsidRDefault="005D606D" w:rsidP="005D60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B23C1" w:rsidRPr="00E96B51" w:rsidTr="00756718">
        <w:tc>
          <w:tcPr>
            <w:tcW w:w="9356" w:type="dxa"/>
            <w:shd w:val="clear" w:color="auto" w:fill="auto"/>
          </w:tcPr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2: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MONITOR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Dot. pkt. 36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Czy Zamawiający dopuści jasność 500 cd/m2, jako lepszy parametr?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nie wymaga.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Dot. pkt. 39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Czy Zamawiający dopuści monitor z wejściami sygnału 4K: 12G-SDI x 1, Display Port x 1, HDMI x 1?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zapisy SWZ, z uwagi na przewidywane podłączanie dwóch urządzeń z wejściami/wyjściami o parametrach 4K 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Dot. pkt. 40 i 41</w:t>
            </w:r>
          </w:p>
          <w:p w:rsidR="004B23C1" w:rsidRPr="00E96B51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B51">
              <w:rPr>
                <w:rFonts w:ascii="Arial Narrow" w:hAnsi="Arial Narrow" w:cs="Arial"/>
                <w:sz w:val="22"/>
                <w:szCs w:val="22"/>
              </w:rPr>
              <w:t>Czy Zamawiający dopuści monitor z wyjściami sygnału 4K: 12G-SDI x 1, Display Port x 1, HDMI x 1?</w:t>
            </w:r>
          </w:p>
          <w:p w:rsidR="004B23C1" w:rsidRPr="00A5296C" w:rsidRDefault="004B23C1" w:rsidP="0075671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96C"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SWZ, z uwagi na przewidywane podłączanie dwóch urządzeń z wejściami/wyjściami o parametrach 4K</w:t>
            </w:r>
          </w:p>
          <w:p w:rsidR="004B23C1" w:rsidRPr="00E96B51" w:rsidRDefault="004B23C1" w:rsidP="005D606D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C45817">
        <w:rPr>
          <w:rFonts w:ascii="Arial Narrow" w:hAnsi="Arial Narrow" w:cs="Arial"/>
          <w:b/>
          <w:sz w:val="22"/>
          <w:szCs w:val="22"/>
          <w:u w:val="single"/>
        </w:rPr>
        <w:t>PYTANIE NR 3: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1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Dotyczy załącznika nr 7 - Specyfikacji technicznej, Wideogastroskop zabiegowy HDTV – 3 sztuki pkt 52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lastRenderedPageBreak/>
        <w:t>Czy Zamawiający w tym miejscu dopuści zapis: „Głębia ostrości 2-100 mm”?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dopuszcza.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2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Dotyczy załącznika nr 7 - Specyfikacji technicznej, pkt 65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Czy Zamawiający w tym miejscu dopuści zapis: „Głębia ostrości 2-100 mm”?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dopuszcza.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3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Dotyczy załącznika nr 7 - Specyfikacji technicznej, pkt 75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Czy Zamawiający w tym punkcie dopuści wysokiej klasy endoskop bez cewek magnetycznych?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Dopuszczenie takiego rozwiązania wpłynie korzystnie na wartość końcową oferty.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dopuszcza.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4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Dot. załącznika nr 7 - Specyfikacji technicznej; Inne wymagania lp.97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Czy Zamawiający wyrazi zgodę, aby zaoferowany sprzęt był fabrycznie nowy, kompletny, gotowy do użytkowania, pozbawiony wad technicznych i na najwyższym poziomie technologicznym obecnie promowanym na rynku, z gwarancją liczoną od daty instalacji bez określenia roku produkcji lub z rokiem produkcji min. 2021? Pragniemy zapewnić Zamawiającego, iż nasza odpowiedzialność, w tym odpowiedzialność gwarancyjna, jest niezależna od daty produkcji i jest liczona zawsze od daty instalacji (a instalowany sprzęt jest zawsze fabrycznie nowy). Również nasza odpowiedzialność produktowa pozostaje niezmienna bez względu na szczegółową datę produkcji sprzętu.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nie wyraża zgody.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5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Dot. załącznika nr 7 - Specyfikacji technicznej; Warunki gwarancji lp.105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Prosimy o doprecyzowanie – czy należy podać koszt pełnej obsługi serwisowej czy jedynie potwierdzić, że jest zawarty w cenie przedmiotu zamówienia?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>Odpowiedź: Należy potwierdzić</w:t>
      </w:r>
      <w:r>
        <w:rPr>
          <w:rFonts w:ascii="Arial Narrow" w:hAnsi="Arial Narrow" w:cs="Arial"/>
          <w:b/>
          <w:sz w:val="22"/>
          <w:szCs w:val="22"/>
        </w:rPr>
        <w:t>,</w:t>
      </w:r>
      <w:r w:rsidRPr="00C45817">
        <w:rPr>
          <w:rFonts w:ascii="Arial Narrow" w:hAnsi="Arial Narrow" w:cs="Arial"/>
          <w:b/>
          <w:sz w:val="22"/>
          <w:szCs w:val="22"/>
        </w:rPr>
        <w:t xml:space="preserve"> iż koszt pełnej obsługi serwisowej jest zawarty w cenie przedmiotu zamówienia.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6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Dotyczy załącznika nr 7 - Specyfikacji technicznej, Warunki gwarancji pkt 108 i 109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Czy Zamawiający w przypadku dostarczenia na czas naprawy urządzenie zastępcze zrezygnuje z tego zapisu?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45817">
        <w:rPr>
          <w:rFonts w:ascii="Arial Narrow" w:hAnsi="Arial Narrow" w:cs="Arial"/>
          <w:sz w:val="22"/>
          <w:szCs w:val="22"/>
        </w:rPr>
        <w:t>Dostarczenie sprzętu zastępczego na czas naprawy powoduje zachowanie ciągłości pracy pracowni endoskopowej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podtrzymuje dotychczasowe zapisy swz.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7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Dot. załącznika nr 7 - Specyfikacji technicznej; Warunki gwarancji lp.108, 109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Czy Zamawiający wyrazi zgodę na wydłużenie terminu naprawy bez użycia części do 5 dni roboczych, a z użyciem części 15 dni roboczych licząc od momentu podjęcia naprawy? Ze względu na fakt, że przedmiotem zamówienia jest wysoce specjalistyczny sprzęt endoskopowy naprawa w wymaganym tak krótkim czasie nie jest możliwa.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podtrzymuje dotychczasowe zapisy swz.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8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Dotyczy załącznik nr 7 - Specyfikacji technicznej, Warunki gwarancji pkt 113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lastRenderedPageBreak/>
        <w:t>Czy Zamawiający wyrazi zgodę na zmianę zapisu na: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„Czas naprawy gwarancyjnej (nie więcej niż 7 dni kalendarzowych), po przekroczeniu którego przedłuża się gwarancję o czas przerwy w eksploatacji”?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podtrzymuje dotychczasowe zapisy swz.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9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Dotyczy załącznik nr 7 - Specyfikacji technicznej, Warunki gwarancji pkt 115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Czy Zamawiający dopuści w tym punkcie zapis :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„Dostępność części zamiennych przez okres 8 lat od momentu dostarczenia”?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podtrzymuje dotychczasowe zapisy swz.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10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Dot. projektu umowy par. 2 ust. 4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Czy Zamawiający wyrazi zgodę na wydłużenie terminu dostarczenia sprzętu bez wad i usterek do 10 dni roboczych?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 xml:space="preserve">Odpowiedź: Zamawiający podtrzymuje dotychczasowe zapisy projektu umowy. 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Pytanie 11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Dot. projektu umowy par. 8 ust. 1 pkt. 3)</w:t>
      </w:r>
    </w:p>
    <w:p w:rsidR="00C45817" w:rsidRPr="00C45817" w:rsidRDefault="00C45817" w:rsidP="00C45817">
      <w:pPr>
        <w:spacing w:after="120"/>
        <w:jc w:val="both"/>
        <w:rPr>
          <w:rFonts w:ascii="Arial Narrow" w:hAnsi="Arial Narrow" w:cs="Arial"/>
          <w:sz w:val="22"/>
          <w:szCs w:val="22"/>
        </w:rPr>
      </w:pPr>
      <w:r w:rsidRPr="00C45817">
        <w:rPr>
          <w:rFonts w:ascii="Arial Narrow" w:hAnsi="Arial Narrow" w:cs="Arial"/>
          <w:sz w:val="22"/>
          <w:szCs w:val="22"/>
        </w:rPr>
        <w:t>Czy Zamawiający zrezygnuje z naliczania kary umownej w przypadku dostawy sprzętu zastępczego? Pragniemy zaznaczyć, że sprzęt zastępczy dostarczony Zamawiającemu będzie najwyższej jakości i nie spowoduje przestoju w wykonywaniu zabiegów, a tym samym Zamawiający nie poniesie strat.</w:t>
      </w:r>
    </w:p>
    <w:p w:rsidR="00BE7BFD" w:rsidRPr="00C45817" w:rsidRDefault="00C45817" w:rsidP="00C45817">
      <w:pPr>
        <w:spacing w:after="120"/>
        <w:jc w:val="both"/>
        <w:rPr>
          <w:rFonts w:ascii="Arial Narrow" w:hAnsi="Arial Narrow" w:cs="Arial"/>
          <w:b/>
          <w:sz w:val="22"/>
          <w:szCs w:val="22"/>
        </w:rPr>
      </w:pPr>
      <w:r w:rsidRPr="00C45817">
        <w:rPr>
          <w:rFonts w:ascii="Arial Narrow" w:hAnsi="Arial Narrow" w:cs="Arial"/>
          <w:b/>
          <w:sz w:val="22"/>
          <w:szCs w:val="22"/>
        </w:rPr>
        <w:t>Odpowiedź: Zamawiający podtrzymuje dotychczasowe zapisy swz.</w:t>
      </w:r>
    </w:p>
    <w:p w:rsidR="005D606D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C45817">
        <w:rPr>
          <w:rFonts w:ascii="Arial Narrow" w:hAnsi="Arial Narrow" w:cs="Arial"/>
          <w:i/>
          <w:sz w:val="22"/>
          <w:szCs w:val="24"/>
        </w:rPr>
        <w:t>Zamawiający</w:t>
      </w:r>
    </w:p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/>
    <w:p w:rsidR="005D606D" w:rsidRPr="005D606D" w:rsidRDefault="005D606D" w:rsidP="005D606D">
      <w:bookmarkStart w:id="0" w:name="_GoBack"/>
      <w:bookmarkEnd w:id="0"/>
    </w:p>
    <w:p w:rsidR="005D606D" w:rsidRDefault="005D606D" w:rsidP="005D606D"/>
    <w:p w:rsidR="006D4AB3" w:rsidRDefault="005D606D" w:rsidP="005D606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5D606D" w:rsidRDefault="005D606D" w:rsidP="005D606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D606D" w:rsidRDefault="005D606D" w:rsidP="005D606D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5D606D" w:rsidRDefault="005D606D" w:rsidP="005D606D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D606D" w:rsidRPr="005D606D" w:rsidRDefault="005D606D" w:rsidP="005D606D">
      <w:pPr>
        <w:rPr>
          <w:rFonts w:ascii="Arial Narrow" w:hAnsi="Arial Narrow"/>
        </w:rPr>
      </w:pPr>
      <w:r>
        <w:rPr>
          <w:rFonts w:ascii="Arial Narrow" w:hAnsi="Arial Narrow"/>
        </w:rPr>
        <w:t>Data: 2022-06-22</w:t>
      </w:r>
    </w:p>
    <w:sectPr w:rsidR="005D606D" w:rsidRPr="005D606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EF9" w:rsidRDefault="00A24EF9">
      <w:r>
        <w:separator/>
      </w:r>
    </w:p>
  </w:endnote>
  <w:endnote w:type="continuationSeparator" w:id="0">
    <w:p w:rsidR="00A24EF9" w:rsidRDefault="00A24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A712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7128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EF9" w:rsidRDefault="00A24EF9">
      <w:r>
        <w:separator/>
      </w:r>
    </w:p>
  </w:footnote>
  <w:footnote w:type="continuationSeparator" w:id="0">
    <w:p w:rsidR="00A24EF9" w:rsidRDefault="00A24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C1" w:rsidRDefault="004B23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C1" w:rsidRDefault="004B23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C1" w:rsidRDefault="004B23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4EF9"/>
    <w:rsid w:val="00031374"/>
    <w:rsid w:val="000A1097"/>
    <w:rsid w:val="000E2A8F"/>
    <w:rsid w:val="0012774F"/>
    <w:rsid w:val="00144B7A"/>
    <w:rsid w:val="00180C6E"/>
    <w:rsid w:val="001A7128"/>
    <w:rsid w:val="0029606A"/>
    <w:rsid w:val="003534B4"/>
    <w:rsid w:val="00374983"/>
    <w:rsid w:val="004848F3"/>
    <w:rsid w:val="004A75F2"/>
    <w:rsid w:val="004B23C1"/>
    <w:rsid w:val="005144A9"/>
    <w:rsid w:val="00520165"/>
    <w:rsid w:val="005B1B08"/>
    <w:rsid w:val="005D606D"/>
    <w:rsid w:val="00632C3C"/>
    <w:rsid w:val="00662BDB"/>
    <w:rsid w:val="006A5DF1"/>
    <w:rsid w:val="006B7198"/>
    <w:rsid w:val="006D4AB3"/>
    <w:rsid w:val="006F3B81"/>
    <w:rsid w:val="007606B0"/>
    <w:rsid w:val="007D7198"/>
    <w:rsid w:val="00807DB7"/>
    <w:rsid w:val="00870F9F"/>
    <w:rsid w:val="008804B6"/>
    <w:rsid w:val="00885137"/>
    <w:rsid w:val="00897AB0"/>
    <w:rsid w:val="008A3553"/>
    <w:rsid w:val="009003D1"/>
    <w:rsid w:val="00947A50"/>
    <w:rsid w:val="009D1960"/>
    <w:rsid w:val="00A24EF9"/>
    <w:rsid w:val="00A5296C"/>
    <w:rsid w:val="00A905AC"/>
    <w:rsid w:val="00B1255C"/>
    <w:rsid w:val="00BA6584"/>
    <w:rsid w:val="00BE7BFD"/>
    <w:rsid w:val="00C370F2"/>
    <w:rsid w:val="00C44EEC"/>
    <w:rsid w:val="00C45817"/>
    <w:rsid w:val="00D22FFA"/>
    <w:rsid w:val="00D8461B"/>
    <w:rsid w:val="00D9049C"/>
    <w:rsid w:val="00D915F2"/>
    <w:rsid w:val="00DF32E8"/>
    <w:rsid w:val="00E21B49"/>
    <w:rsid w:val="00E2789F"/>
    <w:rsid w:val="00E72428"/>
    <w:rsid w:val="00E96B5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6</Pages>
  <Words>1789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16</cp:revision>
  <cp:lastPrinted>2022-06-22T12:15:00Z</cp:lastPrinted>
  <dcterms:created xsi:type="dcterms:W3CDTF">2022-06-22T11:23:00Z</dcterms:created>
  <dcterms:modified xsi:type="dcterms:W3CDTF">2022-06-22T12:15:00Z</dcterms:modified>
</cp:coreProperties>
</file>