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69"/>
        <w:gridCol w:w="2902"/>
        <w:gridCol w:w="1221"/>
        <w:gridCol w:w="1849"/>
        <w:gridCol w:w="2202"/>
        <w:gridCol w:w="1352"/>
        <w:gridCol w:w="1861"/>
        <w:gridCol w:w="1718"/>
        <w:gridCol w:w="1718"/>
        <w:gridCol w:w="222"/>
      </w:tblGrid>
      <w:tr w:rsidR="00663ED4" w:rsidRPr="00213F8F" w:rsidTr="00663ED4">
        <w:trPr>
          <w:jc w:val="center"/>
        </w:trPr>
        <w:tc>
          <w:tcPr>
            <w:tcW w:w="1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2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63E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7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ED4" w:rsidRPr="00213F8F" w:rsidRDefault="00663ED4" w:rsidP="00663E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ED4" w:rsidRPr="00213F8F" w:rsidRDefault="00663ED4" w:rsidP="00663E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*VAT [%]</w:t>
            </w:r>
          </w:p>
        </w:tc>
        <w:tc>
          <w:tcPr>
            <w:tcW w:w="5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3ED4" w:rsidRPr="00213F8F" w:rsidRDefault="00663ED4" w:rsidP="00663E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3ED4" w:rsidRDefault="00663ED4" w:rsidP="00663E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63ED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  <w:r w:rsidRPr="00663ED4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63E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663ED4" w:rsidRPr="00213F8F" w:rsidTr="00663ED4">
        <w:trPr>
          <w:trHeight w:val="600"/>
          <w:jc w:val="center"/>
        </w:trPr>
        <w:tc>
          <w:tcPr>
            <w:tcW w:w="1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8F2118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do znieczulenia z monitorowaniem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213F8F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E634BA" w:rsidRDefault="00663ED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D4" w:rsidRPr="0017560C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663ED4" w:rsidRPr="00E82014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ED4" w:rsidRPr="0017560C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63ED4" w:rsidRPr="00E82014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3ED4" w:rsidRPr="00E82014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63ED4" w:rsidRPr="00E82014" w:rsidRDefault="00663ED4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663ED4" w:rsidRDefault="00663ED4" w:rsidP="004C3AB9">
      <w:pPr>
        <w:rPr>
          <w:rFonts w:ascii="Arial Narrow" w:hAnsi="Arial Narrow" w:cs="Arial"/>
          <w:b/>
          <w:sz w:val="20"/>
          <w:szCs w:val="20"/>
        </w:rPr>
      </w:pPr>
      <w:r w:rsidRPr="00663ED4">
        <w:rPr>
          <w:rFonts w:ascii="Arial Narrow" w:hAnsi="Arial Narrow" w:cs="Arial"/>
          <w:b/>
          <w:sz w:val="20"/>
          <w:szCs w:val="20"/>
        </w:rPr>
        <w:t>*( jeżeli dotyczy) W przypadku zastosowania mieszanej stawki VAT - poniżej tabeli należy przedstawić sposób wyliczenia ceny jedn. brutto w uwzględnieniem dwóch różnych stawek VAT.</w:t>
      </w:r>
    </w:p>
    <w:p w:rsidR="00663ED4" w:rsidRDefault="00663ED4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663ED4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663ED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663ED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663ED4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663ED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663ED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011EF" w:rsidRPr="00A219DE" w:rsidTr="00663ED4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8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Aparat przystosowany do zawieszenia na sufitowej jednostce zasilającej TRUMPF,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klinoPORT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posiadanej przez Zamawiającego.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Aparat w wersji kolumnowej, zawierający zintegrowane kółka transportowe.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Aparat przystosowany do pracy przy ciśnieniu sieci centralnej dla: O2, N2O, Powietrza od 2,7 kPa x 100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Podgrzewany system oddechowy, możliwe wyłączenie/ włączenie podgrzewania przez użytkownika w konfiguracji systemu lub podgrzewane czujniki przepływu bez możliwości wyłączenia podgrzewania przez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Awaryjne zasilanie elektryczne całego systemu z wbudowanego akumulatora na co najmniej 90 minut.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Blat roboczy. Wbudowane, regulowane oświetlenie blatu.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Szuflada na akcesoria z trwałym zamknięciem (typu: zamek na klucz, blokada mechaniczna)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2350BB" w:rsidP="00663ED4">
            <w:pPr>
              <w:pStyle w:val="TableParagraph"/>
              <w:spacing w:before="179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P</w:t>
            </w:r>
            <w:r w:rsidR="009011EF" w:rsidRPr="009011EF">
              <w:rPr>
                <w:rFonts w:ascii="Arial Narrow" w:hAnsi="Arial Narrow"/>
                <w:sz w:val="20"/>
                <w:szCs w:val="20"/>
              </w:rPr>
              <w:t>rezentacja ciśnień gazów w sieci centralnej na ekranie głównym respiratora.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System bezpieczeństwa zapewniający co najmniej 25% udział O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2 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w mieszaninie z N</w:t>
            </w:r>
            <w:r w:rsidRPr="009011EF">
              <w:rPr>
                <w:rFonts w:ascii="Arial Narrow" w:hAnsi="Arial Narrow"/>
                <w:sz w:val="20"/>
                <w:szCs w:val="20"/>
              </w:rPr>
              <w:t>2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Elektroniczny mieszalnik: zapewniający utrzymanie ustawionego wdechowego stężenia tlenu przy zmianie wielkości przepływu świeżych gazów i utrzymanie ustawionego przepływu świeżych gazów przy zmianie stężenie tlenu w mieszaninie podawanej do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Aparat z czujnikami przepływu wdechowym i wydechowym. Czujniki termoanemometryczne (tzw. podgrzewane). Czujniki mogą być</w:t>
            </w:r>
            <w:r w:rsidR="007C082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/>
                <w:sz w:val="20"/>
                <w:szCs w:val="20"/>
              </w:rPr>
              <w:t>sterylizowane parowo.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Wirtualne przepływomierze prezentowane na ekranie aparatu.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Aparat przystosowany do prowadzenia znieczulania w technice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LowFlow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MinimalFlow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Regulowany zawór ograniczający ciśnienie w trybie wentylacji ręcznej (APL) z funkcją natychmiastowego zwolnienia ciśni</w:t>
            </w:r>
            <w:r w:rsidRPr="009011EF">
              <w:rPr>
                <w:rFonts w:ascii="Arial Narrow" w:hAnsi="Arial Narrow"/>
                <w:sz w:val="20"/>
                <w:szCs w:val="20"/>
              </w:rPr>
              <w:t>e</w:t>
            </w:r>
            <w:r w:rsidRPr="009011EF">
              <w:rPr>
                <w:rFonts w:ascii="Arial Narrow" w:hAnsi="Arial Narrow"/>
                <w:sz w:val="20"/>
                <w:szCs w:val="20"/>
              </w:rPr>
              <w:t>nia w układzie bez konieczności skręcania do minimum lub poprzez skręcenie zastawki do minimum.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3" w:line="229" w:lineRule="exact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Wbudowany przepływomierz O2 do niezależnej podaży tlenu przez maskę lub kaniulę donosową, regulacja przepływu co najmniej od</w:t>
            </w:r>
            <w:r w:rsidR="007C082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/>
                <w:sz w:val="20"/>
                <w:szCs w:val="20"/>
              </w:rPr>
              <w:t>0 do 10 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Miejsca aktywne do zamocowania dwóch parowników.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 dostawie 6 zbiorników jednorazowych z wapnem sodowanym, objętość pochłaniacza jednorazowego minimum 1200 ml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Respirator, tryby wentylacji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Ekonomiczny respirator z napędem elektrycznym lub ekonomiczny respirator nie zużywający tlenu do napędu lub respirator z n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pędem pneumatycznym O2.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Wentylacja kontrolowana objętościowo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Wentylacja kontrolowana ciśnieniowo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6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Wentylacja synchronizowana ze wspomaganiem ciśnieniowym oddechów spontanicznych w trybie kontrolowanym objętościowo i w trybie kontrolowanym ciśnieniowo (VCV-SIMV/PS, PCV-SIMV/PS) lub wentylacja synchronizowana SIMV w trybie ciśnieniowym SIMV-PC i objętościowym SIMV-VC.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5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Możliwość rozbudowy o tryb wentylacji z gwarantowaną objętością typu Auto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Flow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 PRVC; synchronizacja oddechów pacjenta z oddechami obowiązkowymi lub możliwość rozbudowy o tryb wentylacji z gwarantowaną objętością PCV-VG; SIMV PCV- VG.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CPAP/PSV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right="19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Funkcja Pauzy (zatrzymanie wentylacji kontrolowanej np. na czas odsysania śluzu lub zmiany pozycji pacjenta), prezentacja na ekranie respiratora czasu pozostałego do zakończenia pauzy.  Czas trwania pauzy regulowany w zakresie do co najmniej 10 min lub czas trwania pauzy regulowany w zakresie do 1min.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Regulacje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regulacji częstości oddechowej co najmniej od 4 do 100 odd/min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55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regulacji plateau co najmniej od 0% do 50% lub od  5% do 60%.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regulacji I:E co najmniej od 5:1 do 1:5 lub od 2:1 do 1:8.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regulacji objętości oddechowej w trybie kontrolowanym objętościowo co najmniej od 10 do 1500 ml lub zakres objętości oddechowej dla wentylacji objętościowej, od 20 ml do 1500 ml i zakres uzyskiwanej objętości od 5 ml do 1500 ml w trybie wentylacji ciśnieniowej.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regulacji czułości wyzwalacza przepływowego co najmniej od 0,3 l/min do 15 l/min lub od 0,2 l/min do 10 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Ciśnienie wdechowe regulowane w zakresie co najmniej od 10 do 80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hPa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(cmH2O) lub w zakresie 5-60 cmH2O.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Wspomaganie ciśnieniowe w trybie PSV regulowane w zakresie od 3 cmH2O do co najmniej 60 cmH2O lub w zakresie 2-40 cmH2O.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23" w:lineRule="exact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Regulacja PEEP w zakresie co najmniej od 2 do 20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hPa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(cmH2O); wymagana funkcja WYŁ (OFF) lub w zakresie wył, 4-30 cmH2O.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Prezentacje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Prezentacja krzywych w czasie rzeczywistym: p(t), CO2(t), prezentacja pętli p-V, V-przepływ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Prezentacja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minitrendów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przy krzywych oddechowych lub na wyświetlanej osobnej stronie respiratora.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Ekonometr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(funkcja pozwalająca na optymalny dobór przepływu świeżych gazów) wraz z prezentacją trendu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ekonometru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lub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ek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nometr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bez prezentacji trendu, ale z podaniem kosztu anestetyku w godzinie znieczulenia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EcoFlow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right="79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Funkcja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timera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(odliczanie do zera od ustawionego czasu) pomocna przy wykonywaniu czynności obwarowanych cz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sowo, prezentacja na ekranie respiratora lub prezentacja na ekranie kardiomonitora.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Prezentacja ΔVT (różnicy między objętością wdechową a wydechową) lub prezentacja objętości wdechowej  oraz objętości wyd</w:t>
            </w:r>
            <w:r w:rsidRPr="009011EF">
              <w:rPr>
                <w:rFonts w:ascii="Arial Narrow" w:hAnsi="Arial Narrow"/>
                <w:sz w:val="20"/>
                <w:szCs w:val="20"/>
              </w:rPr>
              <w:t>e</w:t>
            </w:r>
            <w:r w:rsidRPr="009011EF">
              <w:rPr>
                <w:rFonts w:ascii="Arial Narrow" w:hAnsi="Arial Narrow"/>
                <w:sz w:val="20"/>
                <w:szCs w:val="20"/>
              </w:rPr>
              <w:t>chowej  z możliwością obliczenia delta VT przez personel.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Funkcja stopera (odliczanie czasu od zera) pomocna przy kontroli czasu znieczulenia, kontroli czasu; prezentacja na ekranie resp</w:t>
            </w:r>
            <w:r w:rsidRPr="009011EF">
              <w:rPr>
                <w:rFonts w:ascii="Arial Narrow" w:hAnsi="Arial Narrow"/>
                <w:sz w:val="20"/>
                <w:szCs w:val="20"/>
              </w:rPr>
              <w:t>i</w:t>
            </w:r>
            <w:r w:rsidRPr="009011EF">
              <w:rPr>
                <w:rFonts w:ascii="Arial Narrow" w:hAnsi="Arial Narrow"/>
                <w:sz w:val="20"/>
                <w:szCs w:val="20"/>
              </w:rPr>
              <w:t>ratora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Prezentacja MV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spont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, RR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spont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(objętości minutowej i częstości oddechowej spontanicznej pacjenta) lub prezentacja MV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spont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(objętości minutowej i częstości oddechowej spontanicznej pacjenta) bez RR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spont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29" w:lineRule="exact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Prezentacja trendów graficznych, funkcja "Zoom +/ Zoom -" ułatwiająca wybór interesującego okresu czasu, funkcja kursora -</w:t>
            </w:r>
          </w:p>
          <w:p w:rsidR="009011EF" w:rsidRPr="009011EF" w:rsidRDefault="009011EF" w:rsidP="00663ED4">
            <w:pPr>
              <w:pStyle w:val="TableParagraph"/>
              <w:spacing w:line="229" w:lineRule="exact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prezentacja wartości dla konkretnego punktu w czasie lub bez funkcji "Zoom +/ Zoom -" i funkcji kursora.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55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Prezentacja podatności, oporu i elastancji lub prezentacja podatności bez prezentacji oporu i elastancji.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Funkcjonalność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right="924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Kolorowy ekran, o regulowanej jasności i przekątnej minimum 15”, sterowanie: ekran dotykowy i pokrętło funkcyjne, ekran wbudowany z przodu aparatu lub ekran niewbudowany w przednią ścianę aparatu, mocowany na wysięgniku, pozwalającym na dostosowanie jego położenia w zależności od bieżących potrzeb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3" w:line="229" w:lineRule="exact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Pola parametrów wyświetlane na ekranie mogą być konfigurowane w czasie pracy, możliwe szybkie dopasowanie rozmieszczenia lub</w:t>
            </w:r>
          </w:p>
          <w:p w:rsidR="009011EF" w:rsidRPr="009011EF" w:rsidRDefault="009011EF" w:rsidP="00663ED4">
            <w:pPr>
              <w:pStyle w:val="TableParagraph"/>
              <w:spacing w:line="229" w:lineRule="exact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zmiany wyświetlanych parametrów w czasie operacji w zależności od aktualnych wymagań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Możliwe ustawienie różnych kolorów parametrów, np. ciśnienia - czerwone, objętości - zielone, w celu łatwiejszego odczytu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Konfiguracja urządzenia może być eksportowana i importowana do/z innych aparatów tej serii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2"/>
              <w:ind w:right="19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Moduł gazowy w aparacie (pomiar w strumieniu bocznym): pomiary i prezentacja wdechowego i wydechowego stężenia: O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2 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(pomiar paramagnetyczny), N</w:t>
            </w:r>
            <w:r w:rsidRPr="009011EF">
              <w:rPr>
                <w:rFonts w:ascii="Arial Narrow" w:hAnsi="Arial Narrow"/>
                <w:sz w:val="20"/>
                <w:szCs w:val="20"/>
              </w:rPr>
              <w:t>2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O, CO</w:t>
            </w:r>
            <w:r w:rsidRPr="009011EF">
              <w:rPr>
                <w:rFonts w:ascii="Arial Narrow" w:hAnsi="Arial Narrow"/>
                <w:sz w:val="20"/>
                <w:szCs w:val="20"/>
              </w:rPr>
              <w:t>2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 xml:space="preserve">, anestetyki (SEV, DES, ISO), automatyczna identyfikacja anestetyku, MAC skorelowany do wieku </w:t>
            </w:r>
            <w:r w:rsidRPr="009011EF">
              <w:rPr>
                <w:rFonts w:ascii="Arial Narrow" w:hAnsi="Arial Narrow"/>
                <w:sz w:val="20"/>
                <w:szCs w:val="20"/>
              </w:rPr>
              <w:t>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Powrót próbki gazowej do układu oddechowego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Eksport do pamięci zewnętrznej USB: widoku ekranu (tzw.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PrtScr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lub zrzut ekranu), Dziennika (tzw. Rejestr lub Dziennik Zdarzeń lub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Logbook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 gdzie zapisywane są parametry pracy), wyników Testu, danych trendów lub aparat bez eksportu opisanych danych do pamięci USB, ale z możliwością eksportu danych dziennika zdarzeń i alarmów jedynie do celów serwisowych.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Alarmy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Funkcja autoustawienia alarmów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Alarm ciśnienia w drogach oddechowych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Alarm objętości minutowej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Alarm bezdechu generowany na podstawie analizy przepływu, ciśnienia, CO2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Alarm stężenia anestetyku wziewnego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Alarm braku zasilania w O2, Powietrze, N2O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Inne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Oprogramowanie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Ssak inżektorowy napędzany powietrzem z sieci centralnej, zasilanie ssaka z przyłączy w aparacie, dwa zbiorniki na wydzielinę o</w:t>
            </w:r>
          </w:p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łącznej objętości minimum 1200 ml na wkłady jednorazowe lub dwa zbiorniki na wydzielinę o objętości po 1000 ml na wkłady jedn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razowe.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Dreny do podłączenia O</w:t>
            </w:r>
            <w:r w:rsidRPr="009011EF">
              <w:rPr>
                <w:rFonts w:ascii="Arial Narrow" w:hAnsi="Arial Narrow"/>
                <w:sz w:val="20"/>
                <w:szCs w:val="20"/>
              </w:rPr>
              <w:t>2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, N</w:t>
            </w:r>
            <w:r w:rsidRPr="009011EF">
              <w:rPr>
                <w:rFonts w:ascii="Arial Narrow" w:hAnsi="Arial Narrow"/>
                <w:sz w:val="20"/>
                <w:szCs w:val="20"/>
              </w:rPr>
              <w:t>2</w:t>
            </w:r>
            <w:r w:rsidRPr="009011EF">
              <w:rPr>
                <w:rFonts w:ascii="Arial Narrow" w:hAnsi="Arial Narrow"/>
                <w:position w:val="1"/>
                <w:sz w:val="20"/>
                <w:szCs w:val="20"/>
              </w:rPr>
              <w:t>O i Powietrza o minimum dł. 1.5m każdy; wtyki typu AGA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Aparat z kółkami umożliwiającymi transport aparatu w obszarze pracy w celach relokacji lub serwisowych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Całkowicie automatyczny test główny bez interakcji z użytkownikiem w trakcie trwania procedury lub automatyczny test z interakcją z użytkownikiem w trakcie trwania procedury testowania.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Lista kontrolna, czynności do wykonania przed rozpoczęciem testu, prezentowana na ekranie respiratora w formie grafik i tekstu</w:t>
            </w:r>
          </w:p>
          <w:p w:rsidR="009011EF" w:rsidRPr="009011EF" w:rsidRDefault="009011EF" w:rsidP="00663ED4">
            <w:pPr>
              <w:pStyle w:val="TableParagraph"/>
              <w:spacing w:before="1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objaśniających poszczególne czynności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System ewakuacji gazów, zintegrowany, z niezbędnymi akcesoriami umożliwiającymi podłączenie do odciągu szpitalnego, wska</w:t>
            </w:r>
            <w:r w:rsidRPr="009011EF">
              <w:rPr>
                <w:rFonts w:ascii="Arial Narrow" w:hAnsi="Arial Narrow"/>
                <w:sz w:val="20"/>
                <w:szCs w:val="20"/>
              </w:rPr>
              <w:t>ź</w:t>
            </w:r>
            <w:r w:rsidRPr="009011EF">
              <w:rPr>
                <w:rFonts w:ascii="Arial Narrow" w:hAnsi="Arial Narrow"/>
                <w:sz w:val="20"/>
                <w:szCs w:val="20"/>
              </w:rPr>
              <w:t>nik przepływu ewakuowanych gazów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Wymagane akcesoria dodatkowe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Zbiornik wielorazowy na wapno, możliwa sterylizacja parowa w temperaturze 134 st. C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Jednorazowe układy oddechowe, współosiowe, z pułapkami 10 szt.  lub bez pułapek (worek oddechowy 2 L, długość rur co na</w:t>
            </w:r>
            <w:r w:rsidRPr="009011EF">
              <w:rPr>
                <w:rFonts w:ascii="Arial Narrow" w:hAnsi="Arial Narrow"/>
                <w:sz w:val="20"/>
                <w:szCs w:val="20"/>
              </w:rPr>
              <w:t>j</w:t>
            </w:r>
            <w:r w:rsidRPr="009011EF">
              <w:rPr>
                <w:rFonts w:ascii="Arial Narrow" w:hAnsi="Arial Narrow"/>
                <w:sz w:val="20"/>
                <w:szCs w:val="20"/>
              </w:rPr>
              <w:t>mniej 170 cm)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Jednorazowe wkłady na wydzielinę z żelem – 25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Pułapki wodne do modułu gazowego 12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Linie próbkujące 10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Monitor do aparatu, wymagania ogólne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95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przeznaczony do monitorowania pacjentów w kategorii wiekowej: dorośli z łatwym przełączaniem kategorii, powiązanej z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algorytmami pomiarowymi i ustawieniami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96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pacjenta składa się z monitora stacjonarnego i modułu transportowego, zgodnie ze szczegółowymi wymaganiami, znajd</w:t>
            </w:r>
            <w:r w:rsidRPr="009011EF">
              <w:rPr>
                <w:rFonts w:ascii="Arial Narrow" w:hAnsi="Arial Narrow"/>
                <w:sz w:val="20"/>
                <w:szCs w:val="20"/>
              </w:rPr>
              <w:t>u</w:t>
            </w:r>
            <w:r w:rsidRPr="009011EF">
              <w:rPr>
                <w:rFonts w:ascii="Arial Narrow" w:hAnsi="Arial Narrow"/>
                <w:sz w:val="20"/>
                <w:szCs w:val="20"/>
              </w:rPr>
              <w:t>jącymi się w dalszej części specyfikacji.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61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przystosowany do pracy w sieci centralnego monitorowania, opartej na standardowych rozwiązaniach (IEEE 802.3), wyk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rzystuje protokoły TCP/IP oraz transmisję typu multicast lub monitor przystosowany do pracy w sieci centralnego monitorowania, opartej na standardowych rozwiązaniach (IEEE 802.3), wykorzystuje protokoły TCP/IP oraz inny niż "multicast" typ transmisji.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wyposażony w funkcję automatycznego dopasowania układu ekranu do aktualnie monitorowanych parametrów, włączającą i usuwającą odpowiednie pola krzywych dynamicznych i wartości liczbowych parametrów, bez zakłócania pracy monitora i bez konieczności ręcznego włączania i usuwania tych pól. Wymagane jest działanie "Plug and Play".</w:t>
            </w:r>
          </w:p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Pola wyświetlające monitorowane parametry powinny automatycznie zwiększać swoje wymiary wraz ze zmniejszaniem liczby</w:t>
            </w:r>
          </w:p>
          <w:p w:rsidR="009011EF" w:rsidRPr="009011EF" w:rsidRDefault="009011EF" w:rsidP="00663ED4">
            <w:pPr>
              <w:pStyle w:val="TableParagraph"/>
              <w:spacing w:before="18" w:line="259" w:lineRule="auto"/>
              <w:ind w:left="72" w:right="2395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jednocześnie monitorowanych parametrów, wykorzystując do wyświetlania cały ekran monitora. Każdy monitor umożliwia jednoczesne wyświetlanie wszystkich wymaganych parametrów.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right="6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wyposażony w kolorowy ekran, z możliwością wyświetlania przynajmniej 10 krzywych dynamicznych na całej szerokości ekranu, od jego krawędzi do pola parametrów powiązanych z odpowiadającymi im krzywymi. Przekątna ekranu min. 17” w form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cie panoramicznym</w:t>
            </w:r>
          </w:p>
          <w:p w:rsidR="009011EF" w:rsidRPr="009011EF" w:rsidRDefault="009011EF" w:rsidP="00663ED4">
            <w:pPr>
              <w:pStyle w:val="TableParagraph"/>
              <w:ind w:right="6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 lub</w:t>
            </w:r>
          </w:p>
          <w:p w:rsidR="009011EF" w:rsidRPr="009011EF" w:rsidRDefault="009011EF" w:rsidP="00663ED4">
            <w:pPr>
              <w:pStyle w:val="TableParagraph"/>
              <w:ind w:right="6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wyposażony w kolorowy ekran, umożliwiający jednoczesną prezentację 8 krzywych dynamicznych na całej szerokości ekranu, od jego krawędzi, do pola parametrów powiązanych z odpowiadającymi im krzywymi, z możliwością prezentacji do 14 krzywych na jednym ekranie z wykorzystaniem dodatkowych okienek i zakładek. Przekątna ekranu 15" w formacie</w:t>
            </w:r>
            <w:r w:rsidR="007C082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/>
                <w:sz w:val="20"/>
                <w:szCs w:val="20"/>
              </w:rPr>
              <w:t>4:3.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o dodatkowy ekran kopiujący oraz możliwość rozbudowy o dodatkowy ekran z niezależną konfiguracją sposobu wyświetlania.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Ekran ze sterowaniem dotykowym, z możliwością obsługi w rękawiczkach, zapewniający prezentację monitorowanych parametrów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życiowych pacjenta i interaktywne sterowanie pomiarami.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Sterowanie monitorem za pomocą menu ekranowego w języku polskim: dostęp do często używanych funkcji za pomocą dedyk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wanych przycisków ekranowych, wybór parametru i funkcji przez dotyk na ekranie, zmiana wartości oraz wybór pozycji z listy przy pomocy pokrętła, zatwierdzanie wyboru przez naciśnięcie pokrętła.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Funkcja czasowego wyłączenia sterowania dotykowego, ułatwiająca czyszczenie ekranu.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monitora o interaktywny dostęp na jego ekranie do zasobów informatycznych sieci komputerowej szpitala, takich jak diagnostyka obrazowa, dane laboratoryjne, ruch chorych, komputerowa karta chorobowa, dedykowane strony www, z wyświetlaniem danych na pełnym ekranie oferowanego monitora z zachowaniem ciągłego podglądu podstawowych monitorow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nych parametrów pacjenta na ekranie modułu transportowego lub w dedykowanym okienku umożliwiając obserwację parametrów na ekranie głównym kardiomonitora, w którym ekran modułu transportowego po zadokowaniu na stanowisku pracy wygasza się i umożliwia tymczasowy podgląd monitorowanych parametrów, po naciśnięciu ekranu. Obsługa dostępu do zasobów sieciowych za pomocą ekranu dotykowego oraz za pomocą klawiatury i myszy.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oferowanego systemu monitorowania o komputerową kartę znieczulenia, posiadającą następującą funkcj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nalność, przynajmniej: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line="261" w:lineRule="auto"/>
              <w:ind w:right="428" w:firstLine="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automatycznego pobierania danych pacjenta ze szpitalnego systemu komputerowego (typu HIS), z wykorzyst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niem protokołuHL7(przynajmniejimięinazwisko,wiek,wzrostimasaciała),napodstawiewprowadzonegonumeruidentyfikacyjnego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line="226" w:lineRule="exact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automatycznaakwizycjawybranychparametrówzmonitorapacjentaiaparatudoznieczulania,wwybranychodstępachczasowych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17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dokumentacja terapii płynowej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ilekowej</w:t>
            </w:r>
            <w:proofErr w:type="spellEnd"/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18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interaktywnydostępdotejkartynaekranieoferowanegomonitorapacjenta,obsługazapomocąklawiaturyimyszykomputerowej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178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interaktywny dostęp do karty na stacjonarnych i przenośnych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urządzeniachkomputerowych</w:t>
            </w:r>
            <w:proofErr w:type="spellEnd"/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18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formularze do wydruku oparte na aktualnym rozporządzeniu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Ministrazdrowia</w:t>
            </w:r>
            <w:proofErr w:type="spellEnd"/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18"/>
              <w:ind w:left="17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możliwość archiwizacji w komputerowych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systemachbazodanowych</w:t>
            </w:r>
            <w:proofErr w:type="spellEnd"/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6"/>
              </w:numPr>
              <w:tabs>
                <w:tab w:val="left" w:pos="173"/>
              </w:tabs>
              <w:spacing w:before="20" w:line="259" w:lineRule="auto"/>
              <w:ind w:right="552" w:firstLine="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możliwośćwykorzystaniazbieranychdanychdoanaliziporównań,przywykorzystaniustandardowychnarzędzianalitycznych Możliwość takiej rozbudowy dostępna w dniu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składaniaoferty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Interfejs ekranowy monitora zharmonizowany z interfejsem oferowanego aparatu do znieczulania, przynajmniej pod wzgl</w:t>
            </w:r>
            <w:r w:rsidRPr="009011EF">
              <w:rPr>
                <w:rFonts w:ascii="Arial Narrow" w:hAnsi="Arial Narrow"/>
                <w:sz w:val="20"/>
                <w:szCs w:val="20"/>
              </w:rPr>
              <w:t>ę</w:t>
            </w:r>
            <w:r w:rsidRPr="009011EF">
              <w:rPr>
                <w:rFonts w:ascii="Arial Narrow" w:hAnsi="Arial Narrow"/>
                <w:sz w:val="20"/>
                <w:szCs w:val="20"/>
              </w:rPr>
              <w:t>dem wyglądu i położenia na ekranie podstawowych elementów, takich jak przyciski i inne elementy sterujące, pola komunik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tów alarmowych 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ind w:right="12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interfejs ekranowy kardiomonitora tożsamy z interfejsem oferowanego modułu transportowego, a zapewniający podobny sposób obsługi z aparatem do znieczulania.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o współpracę z aparatem do znieczulania w następującym zakresie, przynajmniej: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7"/>
              </w:numPr>
              <w:tabs>
                <w:tab w:val="left" w:pos="173"/>
              </w:tabs>
              <w:spacing w:before="1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synchronizacja czasu między aparatem a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monitorempacjenta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7"/>
              </w:numPr>
              <w:tabs>
                <w:tab w:val="left" w:pos="173"/>
              </w:tabs>
              <w:spacing w:before="1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przesyłanie z monitora do aparatu informacji o wieku i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wzrościepacjenta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7"/>
              </w:numPr>
              <w:tabs>
                <w:tab w:val="left" w:pos="173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wyciszanie alarmów monitora i aparatu dowolnym przyciskiem wyciszania w monitorze albo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waparacie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7"/>
              </w:numPr>
              <w:tabs>
                <w:tab w:val="left" w:pos="173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przyciemnianieekranujednocześniemonitoraiaparatuuruchamianedowolniezmonitoraizaparatu(np.do laparoskopii),</w:t>
            </w:r>
          </w:p>
          <w:p w:rsidR="009011EF" w:rsidRPr="009011EF" w:rsidRDefault="009011EF" w:rsidP="00663ED4">
            <w:pPr>
              <w:pStyle w:val="TableParagraph"/>
              <w:tabs>
                <w:tab w:val="left" w:pos="173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tabs>
                <w:tab w:val="left" w:pos="173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- umożliwiającą wyświetlanie parametrów życiowych i informacji o alarmach z aparatu na ekranie kardiomonitora,</w:t>
            </w:r>
          </w:p>
          <w:p w:rsidR="009011EF" w:rsidRPr="009011EF" w:rsidRDefault="009011EF" w:rsidP="00663ED4">
            <w:pPr>
              <w:pStyle w:val="TableParagraph"/>
              <w:tabs>
                <w:tab w:val="left" w:pos="173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- synchronizację uruchamiania obu urządzeń jednocześnie po naciśnięciu jednego przycisku włączenia.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96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Konfiguracja wszystkich funkcji związanych z monitorowaniem pacjenta dostępna bez przerywania monitorowania, z wyświetlaniem danych pacjenta na głównym ekranie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umożliwia przygotowanie domyślnej konfiguracji, automatycznie przyjmowanej dla każdego nowego pacjenta. W skład takiej konfiguracji wchodzi ustawienie sposobu wyświetlania parametrów (w tym kolory, kolejność), sposobu alarmowania (w tym głośność alarmów, aktywacja alarmów wybranych parametrów i sposób ich archiwizacji), ustawione granice alarmowe poszczegó</w:t>
            </w:r>
            <w:r w:rsidRPr="009011EF">
              <w:rPr>
                <w:rFonts w:ascii="Arial Narrow" w:hAnsi="Arial Narrow"/>
                <w:sz w:val="20"/>
                <w:szCs w:val="20"/>
              </w:rPr>
              <w:t>l</w:t>
            </w:r>
            <w:r w:rsidRPr="009011EF">
              <w:rPr>
                <w:rFonts w:ascii="Arial Narrow" w:hAnsi="Arial Narrow"/>
                <w:sz w:val="20"/>
                <w:szCs w:val="20"/>
              </w:rPr>
              <w:t>nych parametrów.</w:t>
            </w:r>
          </w:p>
          <w:p w:rsidR="009011EF" w:rsidRPr="009011EF" w:rsidRDefault="009011EF" w:rsidP="00663ED4">
            <w:pPr>
              <w:pStyle w:val="TableParagraph"/>
              <w:spacing w:line="227" w:lineRule="exact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zapamiętania i łatwego przywołania przynajmniej czterech takich zestawów dla kategorii wiekowej pacjentów (dorośli).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przenoszenia konfiguracji przygotowanej w jednym monitorze do innych monitorów za pomocą pamięci USB i za pomocą sieci, z którą są połączone te monitory.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systemu monitorowania o zdalny dostęp do parametrów mierzonych przez monitor, za pośrednictwem sieci szpitala, przewodowej i bezprzewodowej, w oknie przeglądarki internetowej na mobilnych i stacjonarnych urządzeniach komput</w:t>
            </w:r>
            <w:r w:rsidRPr="009011EF">
              <w:rPr>
                <w:rFonts w:ascii="Arial Narrow" w:hAnsi="Arial Narrow"/>
                <w:sz w:val="20"/>
                <w:szCs w:val="20"/>
              </w:rPr>
              <w:t>e</w:t>
            </w:r>
            <w:r w:rsidRPr="009011EF">
              <w:rPr>
                <w:rFonts w:ascii="Arial Narrow" w:hAnsi="Arial Narrow"/>
                <w:sz w:val="20"/>
                <w:szCs w:val="20"/>
              </w:rPr>
              <w:t>rowych. Dostęp do podglądu danych z monitorów pacjenta możliwy tylko i wyłącznie przez upoważniony personel, po zalogowaniu się do systemu, za pomocą nazwy i okresowo zmienianego hasła lub za pomocą innego rozwiązania o równoważnym poziomie zabezpieczenia przed nieupoważnionym dostępem do danych.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systemu monitorowania o przenoszenie danych pacjenta z monitora do oprogramowania na komputerach PC. Przenoszenie tych danych możliwe tylko i wyłącznie za pomocą specjalnych narzędzi udostępnionych upoważnionemu pers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nelowi, po zalogowaniu się do systemu przy pomocy nazwy i okresowo zmienianego hasła lub za pomocą innego rozwiązania o równoważnym poziomie zabezpieczenia przed nieupoważnionym dostępem do danych. W szczególności wyklucza się każdą możliwość bezpośredniego kopiowania danych pacjenta z monitora na wymienne nośniki pamięci (USB, SD itp.), podłączane do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59" w:lineRule="auto"/>
              <w:ind w:right="12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 przypadku odłączenia zasilania z sieci elektrycznej, monitor ma potencjalną możliwość kontynuacji monitorowania min.: EKG, ST, arytmii, oddechu, SpO2, ciśnienia metodą nieinwazyjną, ciśnienia metodą inwazyjną (w 8 torach), temperatury (w 4 torach) i CO2 co najmniej przez 3 godziny oraz zachowuje ciągłość monitorowania przynajmniej w zakresie trendów powyższych param</w:t>
            </w:r>
            <w:r w:rsidRPr="009011EF">
              <w:rPr>
                <w:rFonts w:ascii="Arial Narrow" w:hAnsi="Arial Narrow"/>
                <w:sz w:val="20"/>
                <w:szCs w:val="20"/>
              </w:rPr>
              <w:t>e</w:t>
            </w:r>
            <w:r w:rsidRPr="009011EF">
              <w:rPr>
                <w:rFonts w:ascii="Arial Narrow" w:hAnsi="Arial Narrow"/>
                <w:sz w:val="20"/>
                <w:szCs w:val="20"/>
              </w:rPr>
              <w:t>trów i zdarzeń alarmowych przed odłączeniem zasilania, w trakcie i po przywróceniu zasilania</w:t>
            </w: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left="72" w:right="12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lub</w:t>
            </w: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left="72" w:right="12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 przypadku odłączenia zasilania z sieci elektrycznej monitor zapewnia potencjalną możliwość kontynuacji monitorowania  p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rametrów: m.in. EKG, ST, arytmii, oddechu, SpO2, ciśnienia metodą nieinwazyjną, ciśnienia metodą inwazyjną w 4 kanałach, temperatury w 2 kanałach, CO2, zwiotczenia mięśni, głębokości uśpienia, głębokości analgezji wraz z prezentacją wszystkich wymienionych parametrów na ekranie kardiomonitora przez 2 godziny.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Funkcja drukowania, na drukarce laserowej, odpowiednio sformatowanych tematycznych raportów, z podsumowaniem stanu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pacjenta. Możliwość skonfigurowania własnego zestawu kilku różnych raportów do wydrukowania za pomocą jednego polecenia lub bez możliwości skonfigurowania własnego zestawu kilku różnych raportów do wydruku za pomocą jednego polecenia.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Wszystkie elementy monitora chłodzone pasywnie, bez wspomagania wentylatorem.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A5066D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2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Monitor ergonomicznie zamocowany do aparatu do znieczulania.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Alarmy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95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Ręczne oraz automatyczne ustawianie granic alarmowych, na żądanie, na podstawie bieżących wartości parametrów, jednocześnie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dla wszystkich monitorowanych parametrów.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3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trwałego i czasowego zablokowania alarmów tylko ciśnienia inwazyjnego, niezależnie od pozostałych alarmów, z odp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wiednią sygnalizacją takiego stanu, lub inna metoda umożliwiająca przygotowanie linii pomiarowych ciśnienia przed przybyciem pacjenta, oraz obsługę linii pomiarowych, bez zakłócania alarmami i bez ograniczania normalnego monitorowania innych param</w:t>
            </w:r>
            <w:r w:rsidRPr="009011EF">
              <w:rPr>
                <w:rFonts w:ascii="Arial Narrow" w:hAnsi="Arial Narrow"/>
                <w:sz w:val="20"/>
                <w:szCs w:val="20"/>
              </w:rPr>
              <w:t>e</w:t>
            </w:r>
            <w:r w:rsidRPr="009011EF">
              <w:rPr>
                <w:rFonts w:ascii="Arial Narrow" w:hAnsi="Arial Narrow"/>
                <w:sz w:val="20"/>
                <w:szCs w:val="20"/>
              </w:rPr>
              <w:t>trów.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before="1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Rejestracja w pamięci monitora zdarzeń alarmowych z zapisem odcinka krzywej dynamicznej parametru wywołującego alarm, innych krzywych dynamicznych oraz wartości liczbowych wszystkich parametrów monitorowanych w czasie wystąpienia alarmu</w:t>
            </w: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 lub</w:t>
            </w: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rejestracja w pamięci monitora 999 zdarzeń alarmowych i zapisywanych ręcznie oraz do 400 wycinków zawierających fragmenty krzywych dynamicznych i trendy parametrów wybranych przez Użytkownika.</w:t>
            </w: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2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Świetlna sygnalizacja alarmów, w trzech kolorach, odpowiadających poziomom alarmów (czerwony, żółty, niebieski), widoczna z 360 stopni dookoła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Specjalny, dobrze widoczny wskaźnik informujący o wyciszeniu i o zawieszeniu alarmów, z informacją o pozostałym czasie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wyciszenia i zawieszenia.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8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Informacja o ustawionej głośności alarmów, stale wyświetlana na ekranie monitora, podczas normalnej pracy monitora bez alarmu</w:t>
            </w:r>
          </w:p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lub</w:t>
            </w:r>
          </w:p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informacja o ustawionej głośności alarmów dostępna w menu ekranowym ustawień alarmów dostępnym po naciśnięciu przycisku na pasku menu głównego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Transport pacjenta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41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wyposażony w moduł transportowy, o potencjalnej możliwości ciągłego i nieprzerwanego monitorowania co najmniej: EKG w pełnym wymaganym zakresie (ST, arytmia), SpO2, ciśnienia metodą nieinwazyjną, ciśnienia metodą inwazyjną (x8), temperatury (x4), oraz CO2 w strumieniu głównym i bocznym podczas transportu pacjenta, w szczególności bez żadnych przerw związanych z rozpoczynaniem i kończeniem transportu, oraz bez konieczności wymiany modułów pomiarowych albo układów pacjenta na czas transportu. Ciągłość monitorowania dotyczy trendów wszystkich monitorowanych parametrów (nie tylko parametrów monitorow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nych przez sam moduł transportowy), trendów z urządzeń podłączonych na poprzednim stanowisku (jak np. respirator, aparat do znieczulania), wyników obliczeń (hemodynamicznych, natlenienia i wentylacji) oraz zdarzeń alarmowych z poprzedniego stanow</w:t>
            </w:r>
            <w:r w:rsidRPr="009011EF">
              <w:rPr>
                <w:rFonts w:ascii="Arial Narrow" w:hAnsi="Arial Narrow"/>
                <w:sz w:val="20"/>
                <w:szCs w:val="20"/>
              </w:rPr>
              <w:t>i</w:t>
            </w:r>
            <w:r w:rsidRPr="009011EF">
              <w:rPr>
                <w:rFonts w:ascii="Arial Narrow" w:hAnsi="Arial Narrow"/>
                <w:sz w:val="20"/>
                <w:szCs w:val="20"/>
              </w:rPr>
              <w:t>ska, trendów i zdarzeń zapamiętanych podczas transportu i automatyczną ich integrację z danymi na nowym stanowisku</w:t>
            </w:r>
          </w:p>
          <w:p w:rsidR="009011EF" w:rsidRPr="009011EF" w:rsidRDefault="009011EF" w:rsidP="00663ED4">
            <w:pPr>
              <w:pStyle w:val="TableParagraph"/>
              <w:spacing w:before="141"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ind w:right="83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monitor wyposażony w moduł transportowy o potencjalnej możliwości nieprzerwanego monitorowania: EKG, </w:t>
            </w:r>
            <w:r w:rsidRPr="009011EF">
              <w:rPr>
                <w:rFonts w:ascii="Arial Narrow" w:hAnsi="Arial Narrow"/>
                <w:spacing w:val="-7"/>
                <w:sz w:val="20"/>
                <w:szCs w:val="20"/>
              </w:rPr>
              <w:t xml:space="preserve">ST, 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arytmia, SpO2, </w:t>
            </w:r>
            <w:r w:rsidRPr="009011EF">
              <w:rPr>
                <w:rFonts w:ascii="Arial Narrow" w:hAnsi="Arial Narrow"/>
                <w:spacing w:val="-4"/>
                <w:sz w:val="20"/>
                <w:szCs w:val="20"/>
              </w:rPr>
              <w:t xml:space="preserve">NIBP, 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4x </w:t>
            </w:r>
            <w:r w:rsidRPr="009011EF">
              <w:rPr>
                <w:rFonts w:ascii="Arial Narrow" w:hAnsi="Arial Narrow"/>
                <w:spacing w:val="-6"/>
                <w:sz w:val="20"/>
                <w:szCs w:val="20"/>
              </w:rPr>
              <w:t xml:space="preserve">IBP, 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2x </w:t>
            </w:r>
            <w:r w:rsidRPr="009011EF">
              <w:rPr>
                <w:rFonts w:ascii="Arial Narrow" w:hAnsi="Arial Narrow"/>
                <w:spacing w:val="-5"/>
                <w:sz w:val="20"/>
                <w:szCs w:val="20"/>
              </w:rPr>
              <w:t xml:space="preserve">Temp, </w:t>
            </w:r>
            <w:r w:rsidRPr="009011EF">
              <w:rPr>
                <w:rFonts w:ascii="Arial Narrow" w:hAnsi="Arial Narrow"/>
                <w:sz w:val="20"/>
                <w:szCs w:val="20"/>
              </w:rPr>
              <w:t>CO2 w strumieniu bocznym, bez żadnych przerw związanych z rozpoczynaniem i kończeniem transportu, bez konieczności wymiany modułów pomiarowych i układów pacjenta na czas transport, zapewniający ciągłość trendów monitor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wanych parametrów w module transportowym i kardiomonitorze głównym oraz zdarzeń alarmowych sprzed, w trakcie i po tran</w:t>
            </w:r>
            <w:r w:rsidRPr="009011EF">
              <w:rPr>
                <w:rFonts w:ascii="Arial Narrow" w:hAnsi="Arial Narrow"/>
                <w:sz w:val="20"/>
                <w:szCs w:val="20"/>
              </w:rPr>
              <w:t>s</w:t>
            </w:r>
            <w:r w:rsidRPr="009011EF">
              <w:rPr>
                <w:rFonts w:ascii="Arial Narrow" w:hAnsi="Arial Narrow"/>
                <w:sz w:val="20"/>
                <w:szCs w:val="20"/>
              </w:rPr>
              <w:t>porcie.</w:t>
            </w:r>
          </w:p>
          <w:p w:rsidR="009011EF" w:rsidRPr="009011EF" w:rsidRDefault="009011EF" w:rsidP="00663ED4">
            <w:pPr>
              <w:pStyle w:val="TableParagraph"/>
              <w:spacing w:before="141"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Przygotowanie monitora do transportu, rozpoczęcie i zakończenie transportu nie wymaga podłączania ani odłączania jakichkolwiek przewodów. Odłączenie i podłączenie modułu transportowego do części stacjonarnej monitora możliwe przy użyciu jednej ręki.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Masa modułu transportowego maksymalnie 2 kg, z ekranem i zasilaniem z wbudowanego akumulatora minimum przez 3 godziny ciągłego</w:t>
            </w:r>
          </w:p>
          <w:p w:rsidR="009011EF" w:rsidRPr="009011EF" w:rsidRDefault="009011EF" w:rsidP="00663ED4">
            <w:pPr>
              <w:pStyle w:val="TableParagraph"/>
              <w:spacing w:before="17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monitorowania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umożliwia sterowanie pracą pompy do kontrpulsacji podczas transportu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5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line="259" w:lineRule="auto"/>
              <w:ind w:left="72" w:right="14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wyposażony w ekran dotykowy o przekątnej  6 cali. Ekran pokazuje przynajmniej 3,5 sekundy przebiegów dynamicznych. Ekran dotykowy przystosowany do warunków transportowych: zabezpieczony przed nieoczekiwaną zmianą w</w:t>
            </w:r>
            <w:r w:rsidRPr="009011EF">
              <w:rPr>
                <w:rFonts w:ascii="Arial Narrow" w:hAnsi="Arial Narrow"/>
                <w:sz w:val="20"/>
                <w:szCs w:val="20"/>
              </w:rPr>
              <w:t>y</w:t>
            </w:r>
            <w:r w:rsidRPr="009011EF">
              <w:rPr>
                <w:rFonts w:ascii="Arial Narrow" w:hAnsi="Arial Narrow"/>
                <w:sz w:val="20"/>
                <w:szCs w:val="20"/>
              </w:rPr>
              <w:t>świetlanych informacji, a w szczególności przed reagowaniem na krótkie, przypadkowe dotknięcia i przesunięcia palcem i pa</w:t>
            </w:r>
            <w:r w:rsidRPr="009011EF">
              <w:rPr>
                <w:rFonts w:ascii="Arial Narrow" w:hAnsi="Arial Narrow"/>
                <w:sz w:val="20"/>
                <w:szCs w:val="20"/>
              </w:rPr>
              <w:t>l</w:t>
            </w:r>
            <w:r w:rsidRPr="009011EF">
              <w:rPr>
                <w:rFonts w:ascii="Arial Narrow" w:hAnsi="Arial Narrow"/>
                <w:sz w:val="20"/>
                <w:szCs w:val="20"/>
              </w:rPr>
              <w:t>cami po ekranie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ind w:left="72" w:right="14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ind w:left="72" w:right="14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wyposażony w ekran dotykowy o przekątnej 7 cali, o interfejsie użytkownika tożsamym z monitorem głó</w:t>
            </w:r>
            <w:r w:rsidRPr="009011EF">
              <w:rPr>
                <w:rFonts w:ascii="Arial Narrow" w:hAnsi="Arial Narrow"/>
                <w:sz w:val="20"/>
                <w:szCs w:val="20"/>
              </w:rPr>
              <w:t>w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nym,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responsywny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 umożliwiający obsługę gestów (przesuwanie palcem po ekranie w celu przełączania pomiędzy widokami), z możliwością zabezpieczenia przed przypadkową zmianą parametrów na ekranie poprzez tymczasowe zablokowanie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61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transportowy, przystosowany do zagrożeń związanych z transportem, odporny na zachlapania (min. IPX3) i upadek z wysokości przynajmniej 0,9 metra, potwierdzone odpowiednimi deklaracjami producenta.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wyposażony w uchwyt do przenoszenia, bez konieczności odłączania go w przypadku podłączania modułu na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stanowisku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rozbudowy o połączenie bezprzewodowe (WiFi) z siecią centralnego monitorowania, uruchamiane samoczynnie bezp</w:t>
            </w:r>
            <w:r w:rsidRPr="009011EF">
              <w:rPr>
                <w:rFonts w:ascii="Arial Narrow" w:hAnsi="Arial Narrow"/>
                <w:sz w:val="20"/>
                <w:szCs w:val="20"/>
              </w:rPr>
              <w:t>o</w:t>
            </w:r>
            <w:r w:rsidRPr="009011EF">
              <w:rPr>
                <w:rFonts w:ascii="Arial Narrow" w:hAnsi="Arial Narrow"/>
                <w:sz w:val="20"/>
                <w:szCs w:val="20"/>
              </w:rPr>
              <w:t>średnio po zdjęciu modułu ze stanowiska pacjenta.</w:t>
            </w:r>
          </w:p>
          <w:p w:rsidR="009011EF" w:rsidRPr="009011EF" w:rsidRDefault="009011EF" w:rsidP="00663ED4">
            <w:pPr>
              <w:pStyle w:val="TableParagraph"/>
              <w:spacing w:line="261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Transmisja bezprzewodowa WiFi zabezpieczona na poziomie przynajmniej WPA2-PSK lub równoważnym. Rozwiązania inne, niż oparte na standardach przemysłowych, nie będą akceptowane.</w:t>
            </w:r>
          </w:p>
          <w:p w:rsidR="009011EF" w:rsidRPr="009011EF" w:rsidRDefault="009011EF" w:rsidP="00663ED4">
            <w:pPr>
              <w:pStyle w:val="TableParagraph"/>
              <w:spacing w:line="226" w:lineRule="exact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Rozbudowa o WiFi możliwa bez konieczności wysyłania monitora do serwisu. Funkcjonalność WiFi nie może zmienić wymiarów,</w:t>
            </w:r>
          </w:p>
          <w:p w:rsidR="009011EF" w:rsidRPr="009011EF" w:rsidRDefault="009011EF" w:rsidP="00663ED4">
            <w:pPr>
              <w:pStyle w:val="TableParagraph"/>
              <w:spacing w:before="16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masy, ani odporności modułu na warunki zewnętrzne</w:t>
            </w:r>
          </w:p>
          <w:p w:rsidR="009011EF" w:rsidRPr="009011EF" w:rsidRDefault="009011EF" w:rsidP="00663ED4">
            <w:pPr>
              <w:pStyle w:val="TableParagraph"/>
              <w:spacing w:before="16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lub</w:t>
            </w:r>
          </w:p>
          <w:p w:rsidR="009011EF" w:rsidRPr="009011EF" w:rsidRDefault="009011EF" w:rsidP="00663ED4">
            <w:pPr>
              <w:pStyle w:val="TableParagraph"/>
              <w:spacing w:before="16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moduł transportowy wyposażony we wbudowaną kartę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wifi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 która będzie umożliwiać rozbudowę o bezprzewodowe podłączenie do sieci centralnego monitorowania w przyszłości, w kolejnych wersjach oprogramowania urządzenia.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9" w:line="259" w:lineRule="auto"/>
              <w:ind w:right="19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Moduł transportowy, zamocowany na stanowisku, przesyła dane do systemu monitorowania przez łącze optyczne, </w:t>
            </w:r>
          </w:p>
          <w:p w:rsidR="009011EF" w:rsidRPr="009011EF" w:rsidRDefault="009011EF" w:rsidP="00663ED4">
            <w:pPr>
              <w:pStyle w:val="TableParagraph"/>
              <w:spacing w:before="139" w:line="259" w:lineRule="auto"/>
              <w:ind w:right="19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spacing w:after="160" w:line="259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transportowy, zamocowany na stanowisku, przesyła dane do systemu monitorowania pomiędzy modułem a stacją dokującą za pośrednictwem styków elektrycznych, które zostały przetestowane przez producenta i wytrzymują min.100.000podłączeń/odłączeń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59" w:lineRule="auto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przystosowany do mocowania z prawej i lewej strony stanowiska w taki sposób, że przewody łączące monitor z pacjentem są skierowane bezpośrednio w stronę pacjenta, z zachowaniem odpowiedniej widoczności ekranu. Automatyczny obrót zawartości ekranu o 180 stopni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61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zamocowany na stanowisku umożliwia jednoczesną, ciągłą obserwację danych na ekranie stacjonarnym i na ekranie modułu transportowego</w:t>
            </w:r>
          </w:p>
          <w:p w:rsidR="009011EF" w:rsidRPr="009011EF" w:rsidRDefault="009011EF" w:rsidP="00663ED4">
            <w:pPr>
              <w:pStyle w:val="TableParagraph"/>
              <w:spacing w:line="261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spacing w:line="261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moduł transportowy zamocowany na stanowisku umożliwia jednoczesną, tymczasową (po naciśnięciu w dowolnym miejscu ekranu modułu transportowego), obserwację danych na ekranie stacjonarnym i na ekranie modułu transportowego.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Możliwości monitorowania parametrów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6"/>
              <w:ind w:left="72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EKG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76" w:line="261" w:lineRule="auto"/>
              <w:ind w:right="12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monitorowania oraz jednoczesnego wyświetlania odprowadzeń EKG: 1 (wybieranego przez użytkownika) z 3 elektrod, 7 z 5 elektrod, 8 z 6 elektrod oraz 12 z 10 elektrod, po zastosowaniu odpowiedniego przewodu pomiarowego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wyposażony we wbudowany filtr zakłóceń elektrochirurgicznych.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Monitorowanie odchylenia ST we wszystkich jednocześnie monitorowanych odprowadzeniach EKG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Analiza arytmii zgłaszająca arytmie według przynajmniej 12 różnych definicji, z możliwością wprowadzenia zmian w poszczegó</w:t>
            </w:r>
            <w:r w:rsidRPr="009011EF">
              <w:rPr>
                <w:rFonts w:ascii="Arial Narrow" w:hAnsi="Arial Narrow"/>
                <w:sz w:val="20"/>
                <w:szCs w:val="20"/>
              </w:rPr>
              <w:t>l</w:t>
            </w:r>
            <w:r w:rsidRPr="009011EF">
              <w:rPr>
                <w:rFonts w:ascii="Arial Narrow" w:hAnsi="Arial Narrow"/>
                <w:sz w:val="20"/>
                <w:szCs w:val="20"/>
              </w:rPr>
              <w:t>nych definicjach, dotyczących liczby i częstości skurczów komorowych, oraz z możliwością zmiany poziomu poszczególnych ala</w:t>
            </w:r>
            <w:r w:rsidRPr="009011EF">
              <w:rPr>
                <w:rFonts w:ascii="Arial Narrow" w:hAnsi="Arial Narrow"/>
                <w:sz w:val="20"/>
                <w:szCs w:val="20"/>
              </w:rPr>
              <w:t>r</w:t>
            </w:r>
            <w:r w:rsidRPr="009011EF">
              <w:rPr>
                <w:rFonts w:ascii="Arial Narrow" w:hAnsi="Arial Narrow"/>
                <w:sz w:val="20"/>
                <w:szCs w:val="20"/>
              </w:rPr>
              <w:t>mów arytmii, w zakresie: wysoki, średni, niski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lub</w:t>
            </w:r>
          </w:p>
          <w:p w:rsidR="009011EF" w:rsidRPr="009011EF" w:rsidRDefault="009011EF" w:rsidP="00663ED4">
            <w:pPr>
              <w:pStyle w:val="TableParagraph"/>
              <w:spacing w:line="259" w:lineRule="auto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rozpoznawanie arytmii wg 21 definicji, z możliwością konfiguracji priorytetów poszczególnych arytmii w zakresie: Wyłączony, I</w:t>
            </w:r>
            <w:r w:rsidRPr="009011EF">
              <w:rPr>
                <w:rFonts w:ascii="Arial Narrow" w:hAnsi="Arial Narrow"/>
                <w:sz w:val="20"/>
                <w:szCs w:val="20"/>
              </w:rPr>
              <w:t>n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formacyjny, Niski, Średni, Wysoki, z możliwością konfiguracji kryteriów dla Pauzy, V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Tachy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i SV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Tachy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before="1"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posiada możliwość diagnostycznego monitorowania EKG, z częstością próbkowania sygnału co najmniej 500 razy na sekundę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Zakres pomiarowy częstości akcji serca 15 - 300 uderzeń na minutę lub 20- 300 uderzeń na minutę.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34"/>
              <w:ind w:left="72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oddechu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62" w:line="259" w:lineRule="auto"/>
              <w:ind w:right="5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Monitorowanie oddechu metodą impedancyjną z elektrod EKG (wartości liczbowe i krzywa dynamiczna), z możliwością zmiany odprowadzenia wybranego do monitorowania (I albo II), bez konieczności przepinania przewodu EKG ani zmiany położenia ele</w:t>
            </w:r>
            <w:r w:rsidRPr="009011EF">
              <w:rPr>
                <w:rFonts w:ascii="Arial Narrow" w:hAnsi="Arial Narrow"/>
                <w:sz w:val="20"/>
                <w:szCs w:val="20"/>
              </w:rPr>
              <w:t>k</w:t>
            </w:r>
            <w:r w:rsidRPr="009011EF">
              <w:rPr>
                <w:rFonts w:ascii="Arial Narrow" w:hAnsi="Arial Narrow"/>
                <w:sz w:val="20"/>
                <w:szCs w:val="20"/>
              </w:rPr>
              <w:t>trod na pacjencie.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9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Ustawiany czas opóźnienia alarmu bezdechu w zakresie min. 10 - 30 sekund od ostatniego wykrytego oddechu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saturacji i tętna (SpO2)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86" w:line="259" w:lineRule="auto"/>
              <w:ind w:right="256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Moduł pomiarowy SpO2 umożliwiający poprawne pomiary w warunkach niskiej perfuzji i artefaktów ruchowych algorytmem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Masimorainbow</w:t>
            </w:r>
            <w:r w:rsidRPr="009011EF">
              <w:rPr>
                <w:rFonts w:ascii="Arial Narrow" w:hAnsi="Arial Narrow"/>
                <w:spacing w:val="-5"/>
                <w:sz w:val="20"/>
                <w:szCs w:val="20"/>
              </w:rPr>
              <w:t>SET</w:t>
            </w:r>
            <w:proofErr w:type="spellEnd"/>
            <w:r w:rsidRPr="009011EF">
              <w:rPr>
                <w:rFonts w:ascii="Arial Narrow" w:hAnsi="Arial Narrow"/>
                <w:spacing w:val="-5"/>
                <w:sz w:val="20"/>
                <w:szCs w:val="20"/>
              </w:rPr>
              <w:t xml:space="preserve">, </w:t>
            </w: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TruSignal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49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Monitor umożliwia podłączenie modułów pomiarowych saturacji opartych na różnych technologiach, przynajmniej: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Masimo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SET,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Masimorainbow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 SET i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Nellcor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, również podczas transportu. Wymiana technologii pomiaru może być dokonana przez użytkownika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umożliwia podłączenie drugiego toru pomiarowego saturacji, z wyświetlaniem różnicy saturacji mierzonej w dwóch torach lub bez prezentacji różnicy saturacji i bez możliwości opisania miejsca pomiaru w drugim torze . Możliwość zamiennego stosowania technologii Masimo SET i Nellcor w drugim torze, niezależnie od technologii wykorzystywanej w podstawowym torze.</w:t>
            </w:r>
          </w:p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opisania miejsca pomiaru w drugim torze za pomocą standardowych oznaczeń, przynajmniej 6 różnych oznaczeń do wyboru.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Nieinwazyjny pomiar ciśnienia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Pomiar ciśnienia tętniczego metodą nieinwazyjną, tryb pracy ręczny i automatyczny z programowaniem odstępów między pomi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rami</w:t>
            </w:r>
          </w:p>
          <w:p w:rsidR="009011EF" w:rsidRPr="009011EF" w:rsidRDefault="009011EF" w:rsidP="00663ED4">
            <w:pPr>
              <w:pStyle w:val="TableParagraph"/>
              <w:spacing w:before="20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przynajmniej do 4 godzin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8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włączenia automatycznego blokowania alarmów saturacji podczas pomiaru saturacji i NIBP na tej samej kończynie. Dopuszcza się monitor bez funkcji blokowania alarmów SpO2 podczas pomiaru NIBP.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Inwazyjny pomiar ciśnienia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2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przypisania nazw do poszczególnych torów pomiarowych, powiązanych z miejscem pomiaru, łącznie przynajmniej 28</w:t>
            </w:r>
          </w:p>
          <w:p w:rsidR="009011EF" w:rsidRPr="009011EF" w:rsidRDefault="009011EF" w:rsidP="00663ED4">
            <w:pPr>
              <w:pStyle w:val="TableParagraph"/>
              <w:spacing w:before="17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nazw.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spacing w:line="261" w:lineRule="auto"/>
              <w:ind w:left="72" w:right="35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może obsłużyć pomiar przynajmniej 8 ciśnień, również w transporcie lub przynajmniej 7 ciśnień, w tym 4 w trakcie transportu, bez konieczności przełączania linii pomiarowych do transportu.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wyświetlania wszystkich mierzonych ciśnień w oddzielnych oknach oraz w jednym oknie ze wspólną skalą i z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indywidualnymi skalami, na siatce i bez siatki, do wyboru przez użytkownika,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lub </w:t>
            </w:r>
          </w:p>
          <w:p w:rsidR="009011EF" w:rsidRPr="009011EF" w:rsidRDefault="009011EF" w:rsidP="00663ED4">
            <w:pPr>
              <w:pStyle w:val="TableParagraph"/>
              <w:spacing w:before="18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wyświetlania ciśnień w oddzielnych kanałach lub w jednym - powiększonym do wysokości max. 4 kanałów oknie, umo</w:t>
            </w:r>
            <w:r w:rsidRPr="009011EF">
              <w:rPr>
                <w:rFonts w:ascii="Arial Narrow" w:hAnsi="Arial Narrow"/>
                <w:sz w:val="20"/>
                <w:szCs w:val="20"/>
              </w:rPr>
              <w:t>ż</w:t>
            </w:r>
            <w:r w:rsidRPr="009011EF">
              <w:rPr>
                <w:rFonts w:ascii="Arial Narrow" w:hAnsi="Arial Narrow"/>
                <w:sz w:val="20"/>
                <w:szCs w:val="20"/>
              </w:rPr>
              <w:t>liwiający prezentację do 4 ciśnień jednocześnie ze wspólną skalą lub skalami indywidualnymi.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wyzerowania wszystkich ciśnień jednym poleceniem (np. przyciskiem)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temperatury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8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może obsłużyć pomiar przynajmniej 2 tory temperatury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Jednoczesne wyświetlanie 3 wartości temperatury: T1, T2 i ich różnicy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49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przydzielania dodatkowych etykiet (oprócz 1, 2… lub a, b…) do poszczególnych torów pomiarowych temperatury, prec</w:t>
            </w:r>
            <w:r w:rsidRPr="009011EF">
              <w:rPr>
                <w:rFonts w:ascii="Arial Narrow" w:hAnsi="Arial Narrow"/>
                <w:sz w:val="20"/>
                <w:szCs w:val="20"/>
              </w:rPr>
              <w:t>y</w:t>
            </w:r>
            <w:r w:rsidRPr="009011EF">
              <w:rPr>
                <w:rFonts w:ascii="Arial Narrow" w:hAnsi="Arial Narrow"/>
                <w:sz w:val="20"/>
                <w:szCs w:val="20"/>
              </w:rPr>
              <w:t>zujących miejsce dokonywania pomiaru, za pomocą standardowych etykiet, przynajmniej 11 różnych nazw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CO2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Monitor posiada możliwość pomiaru CO2 w drogach oddechowych w strumieniu bocznym u pacjentów zaintubowanych i nie zaintubowanych, oraz możliwość pomiaru w strumieniu głównym, po podłączeniu odpowiedniego modułu, stacjonarnie i w transporcie, bez konieczności przełączania układu pomiarowego do transportu. Dopuszcza się brak możliwości pomiaru w strumieniu głównym.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9011EF" w:rsidRPr="009011EF" w:rsidRDefault="009011EF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W przypadku strumienia bocznego pomiar realizowany metodą małych przepływów, ok. 50 ml/min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Pomiar zwiotczenia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59" w:lineRule="auto"/>
              <w:ind w:right="19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Pomiar przewodnictwa nerwowo mięśniowego </w:t>
            </w:r>
          </w:p>
          <w:p w:rsidR="009011EF" w:rsidRPr="009011EF" w:rsidRDefault="009011EF" w:rsidP="00663ED4">
            <w:pPr>
              <w:pStyle w:val="TableParagraph"/>
              <w:spacing w:line="229" w:lineRule="exact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Dostępne metody stymulacji, przynajmniej: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8"/>
              </w:numPr>
              <w:tabs>
                <w:tab w:val="left" w:pos="171"/>
              </w:tabs>
              <w:spacing w:before="20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 xml:space="preserve">Train Of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Four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 xml:space="preserve">, obliczanie T1/T4 </w:t>
            </w: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iTref</w:t>
            </w:r>
            <w:proofErr w:type="spellEnd"/>
            <w:r w:rsidRPr="009011EF">
              <w:rPr>
                <w:rFonts w:ascii="Arial Narrow" w:hAnsi="Arial Narrow"/>
                <w:sz w:val="20"/>
                <w:szCs w:val="20"/>
              </w:rPr>
              <w:t>/T4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8"/>
              </w:numPr>
              <w:tabs>
                <w:tab w:val="left" w:pos="171"/>
              </w:tabs>
              <w:spacing w:before="17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TOF z ustawianymi odstępami automatycznych</w:t>
            </w:r>
            <w:r w:rsidR="00872B4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/>
                <w:sz w:val="20"/>
                <w:szCs w:val="20"/>
              </w:rPr>
              <w:t>pomiarów</w:t>
            </w:r>
          </w:p>
          <w:p w:rsidR="009011EF" w:rsidRPr="009011EF" w:rsidRDefault="009011EF" w:rsidP="00663ED4">
            <w:pPr>
              <w:pStyle w:val="TableParagraph"/>
              <w:numPr>
                <w:ilvl w:val="0"/>
                <w:numId w:val="18"/>
              </w:numPr>
              <w:tabs>
                <w:tab w:val="left" w:pos="171"/>
              </w:tabs>
              <w:spacing w:before="18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pacing w:val="-4"/>
                <w:sz w:val="20"/>
                <w:szCs w:val="20"/>
              </w:rPr>
              <w:t xml:space="preserve">Tetanus </w:t>
            </w:r>
            <w:r w:rsidRPr="009011EF">
              <w:rPr>
                <w:rFonts w:ascii="Arial Narrow" w:hAnsi="Arial Narrow"/>
                <w:sz w:val="20"/>
                <w:szCs w:val="20"/>
              </w:rPr>
              <w:t>50Hz</w:t>
            </w:r>
          </w:p>
          <w:p w:rsidR="00872B47" w:rsidRPr="002350BB" w:rsidRDefault="009011EF" w:rsidP="00663ED4">
            <w:pPr>
              <w:pStyle w:val="TableParagraph"/>
              <w:numPr>
                <w:ilvl w:val="0"/>
                <w:numId w:val="18"/>
              </w:numPr>
              <w:tabs>
                <w:tab w:val="left" w:pos="173"/>
              </w:tabs>
              <w:spacing w:before="18"/>
              <w:ind w:left="173" w:hanging="101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011EF">
              <w:rPr>
                <w:rFonts w:ascii="Arial Narrow" w:hAnsi="Arial Narrow"/>
                <w:sz w:val="20"/>
                <w:szCs w:val="20"/>
              </w:rPr>
              <w:t>SingleTwitch</w:t>
            </w:r>
            <w:proofErr w:type="spellEnd"/>
            <w:r w:rsidR="00872B47" w:rsidRPr="002350BB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 w:line="259" w:lineRule="auto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Pomiar za pomocą zewnętrznego urządzenia, przekazującego wyniki pomiarów do oferowanego kardiomonitora lub z wykorzyst</w:t>
            </w:r>
            <w:r w:rsidRPr="009011EF">
              <w:rPr>
                <w:rFonts w:ascii="Arial Narrow" w:hAnsi="Arial Narrow"/>
                <w:sz w:val="20"/>
                <w:szCs w:val="20"/>
              </w:rPr>
              <w:t>a</w:t>
            </w:r>
            <w:r w:rsidRPr="009011EF">
              <w:rPr>
                <w:rFonts w:ascii="Arial Narrow" w:hAnsi="Arial Narrow"/>
                <w:sz w:val="20"/>
                <w:szCs w:val="20"/>
              </w:rPr>
              <w:t>niem modułu oferowanego kardiomonitora. Wyniki pomiarów NMT wyświetlane na ekranie oferowanego monitora pacjenta.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pomiarów przewodnictwa nerwowo mięśniowego u dorosłych, poprzez zastosowanie odopowiedniego czujnika.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011EF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260152" w:rsidRDefault="009011EF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Możliwość stosowania czujników jednorazowych lub czujników wielorazowych.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11EF" w:rsidRPr="009011EF" w:rsidRDefault="009011EF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350BB" w:rsidRDefault="002350BB" w:rsidP="00663ED4">
            <w:pPr>
              <w:pStyle w:val="TableParagraph"/>
              <w:spacing w:before="1"/>
              <w:rPr>
                <w:rFonts w:ascii="Arial Narrow" w:hAnsi="Arial Narrow"/>
                <w:b/>
                <w:sz w:val="20"/>
                <w:szCs w:val="20"/>
              </w:rPr>
            </w:pPr>
            <w:r w:rsidRPr="002350BB">
              <w:rPr>
                <w:rFonts w:ascii="Arial Narrow" w:hAnsi="Arial Narrow"/>
                <w:b/>
                <w:sz w:val="20"/>
                <w:szCs w:val="20"/>
              </w:rPr>
              <w:t>Pomiar jakości znieczulenia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Pomiar głębokości uśpienia metodą BIS lub Entropii, z wykorzystaniem modułu oferowanego kardiomonitora lub urządzenia z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>
              <w:rPr>
                <w:rFonts w:ascii="Arial Narrow" w:hAnsi="Arial Narrow"/>
                <w:sz w:val="20"/>
                <w:szCs w:val="20"/>
              </w:rPr>
              <w:t>wnętrznego.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spacing w:before="1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Pomiar głębokości analgezji metodą SPI lub ANI, z wykorzystaniem modułu oferowanego kardiomonitora lub urządzenia zewnętr</w:t>
            </w:r>
            <w:r>
              <w:rPr>
                <w:rFonts w:ascii="Arial Narrow" w:hAnsi="Arial Narrow"/>
                <w:sz w:val="20"/>
                <w:szCs w:val="20"/>
              </w:rPr>
              <w:t>z</w:t>
            </w:r>
            <w:r>
              <w:rPr>
                <w:rFonts w:ascii="Arial Narrow" w:hAnsi="Arial Narrow"/>
                <w:sz w:val="20"/>
                <w:szCs w:val="20"/>
              </w:rPr>
              <w:t>nego.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ind w:left="72"/>
              <w:rPr>
                <w:rFonts w:ascii="Arial Narrow" w:hAnsi="Arial Narrow"/>
                <w:b/>
                <w:sz w:val="20"/>
                <w:szCs w:val="20"/>
              </w:rPr>
            </w:pPr>
            <w:r w:rsidRPr="009011EF">
              <w:rPr>
                <w:rFonts w:ascii="Arial Narrow" w:hAnsi="Arial Narrow"/>
                <w:b/>
                <w:sz w:val="20"/>
                <w:szCs w:val="20"/>
              </w:rPr>
              <w:t>Wymagane akcesoria pomiarowe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Przewód EKG do podłączenia 3 elektrod, długość przynajmniej 3 metry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Czujnik SpO2 dla dorosłych na palec, z przewodem min. 3 metry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spacing w:before="186" w:line="259" w:lineRule="auto"/>
              <w:ind w:right="469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Mankiety do pomiaru ciśnienia metodą nieinwazyjną, umożliwiające pomiary u pacjentów o przeciętnym wzroście, szczupłych i otyłych – 3 wielorazowe mankiety pomiarowe w 3 różnych rozmiarach. Przewód łączący mankiet z monitorem o długości przynajmniej 3 metrów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spacing w:before="10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2350BB" w:rsidRPr="009011EF" w:rsidRDefault="002350BB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Czujnik temperatury skóry, z przewodem min. 3 metry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260152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pStyle w:val="TableParagraph"/>
              <w:spacing w:before="8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2350BB" w:rsidRPr="009011EF" w:rsidRDefault="002350BB" w:rsidP="00663ED4">
            <w:pPr>
              <w:pStyle w:val="TableParagraph"/>
              <w:ind w:left="72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Akcesoria do pomiaru ciśnienia metodą inwazyjną przynajmniej w 2 torach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9011EF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2350BB" w:rsidRPr="00A219DE" w:rsidTr="00663ED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9011EF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9011EF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011EF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9011EF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9011EF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9011EF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9011EF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9011EF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9011EF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9011EF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9011EF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2350BB" w:rsidRPr="009011EF" w:rsidRDefault="002350BB" w:rsidP="00663ED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 xml:space="preserve">Gwarancja – </w:t>
            </w:r>
            <w:r w:rsidR="00663ED4">
              <w:rPr>
                <w:rFonts w:ascii="Arial Narrow" w:hAnsi="Arial Narrow" w:cs="Times New Roman"/>
                <w:sz w:val="20"/>
                <w:szCs w:val="20"/>
              </w:rPr>
              <w:t xml:space="preserve">min. </w:t>
            </w:r>
            <w:r w:rsidRPr="009011EF">
              <w:rPr>
                <w:rFonts w:ascii="Arial Narrow" w:hAnsi="Arial Narrow" w:cs="Times New Roman"/>
                <w:sz w:val="20"/>
                <w:szCs w:val="20"/>
              </w:rPr>
              <w:t>24 miesiące</w:t>
            </w:r>
            <w:r w:rsidR="00663ED4">
              <w:rPr>
                <w:rFonts w:ascii="Arial Narrow" w:hAnsi="Arial Narrow" w:cs="Times New Roman"/>
                <w:sz w:val="20"/>
                <w:szCs w:val="20"/>
              </w:rPr>
              <w:t>, max. 60 miesięcy</w:t>
            </w:r>
            <w:bookmarkStart w:id="1" w:name="_GoBack"/>
            <w:bookmarkEnd w:id="1"/>
          </w:p>
          <w:p w:rsidR="002350BB" w:rsidRPr="009011EF" w:rsidRDefault="002350BB" w:rsidP="00663ED4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2350BB" w:rsidRPr="009011EF" w:rsidRDefault="002350BB" w:rsidP="00663ED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2350BB" w:rsidRPr="009011EF" w:rsidRDefault="002350BB" w:rsidP="00663ED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 w:cs="Arial"/>
                <w:sz w:val="20"/>
                <w:szCs w:val="20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9011EF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350BB" w:rsidRPr="00A219DE" w:rsidTr="00663ED4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791535" w:rsidRDefault="002350BB" w:rsidP="00663ED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9011EF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011EF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350BB" w:rsidRPr="009011EF" w:rsidRDefault="002350BB" w:rsidP="00663ED4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56F" w:rsidRDefault="00E3256F">
      <w:r>
        <w:separator/>
      </w:r>
    </w:p>
  </w:endnote>
  <w:endnote w:type="continuationSeparator" w:id="0">
    <w:p w:rsidR="00E3256F" w:rsidRDefault="00E3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78" w:rsidRDefault="009C1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4587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5878" w:rsidRDefault="0074587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78" w:rsidRDefault="009C1BD1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4587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3ED4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745878" w:rsidRPr="00A208F1" w:rsidRDefault="00745878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56F" w:rsidRDefault="00E3256F">
      <w:r>
        <w:rPr>
          <w:color w:val="000000"/>
        </w:rPr>
        <w:separator/>
      </w:r>
    </w:p>
  </w:footnote>
  <w:footnote w:type="continuationSeparator" w:id="0">
    <w:p w:rsidR="00E3256F" w:rsidRDefault="00E32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78" w:rsidRDefault="00745878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63ED4">
      <w:rPr>
        <w:rFonts w:ascii="Arial Narrow" w:hAnsi="Arial Narrow"/>
        <w:sz w:val="22"/>
      </w:rPr>
      <w:t>91/2022</w:t>
    </w:r>
  </w:p>
  <w:p w:rsidR="00745878" w:rsidRPr="001F32C3" w:rsidRDefault="00663ED4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 </w:t>
    </w:r>
    <w:r w:rsidR="00745878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0E463D"/>
    <w:multiLevelType w:val="hybridMultilevel"/>
    <w:tmpl w:val="CFA234FA"/>
    <w:lvl w:ilvl="0" w:tplc="B840E516">
      <w:numFmt w:val="bullet"/>
      <w:lvlText w:val="-"/>
      <w:lvlJc w:val="left"/>
      <w:pPr>
        <w:ind w:left="72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l-PL" w:eastAsia="en-US" w:bidi="ar-SA"/>
      </w:rPr>
    </w:lvl>
    <w:lvl w:ilvl="1" w:tplc="146CB332">
      <w:numFmt w:val="bullet"/>
      <w:lvlText w:val="•"/>
      <w:lvlJc w:val="left"/>
      <w:pPr>
        <w:ind w:left="1056" w:hanging="101"/>
      </w:pPr>
      <w:rPr>
        <w:rFonts w:hint="default"/>
        <w:lang w:val="pl-PL" w:eastAsia="en-US" w:bidi="ar-SA"/>
      </w:rPr>
    </w:lvl>
    <w:lvl w:ilvl="2" w:tplc="29DC5984">
      <w:numFmt w:val="bullet"/>
      <w:lvlText w:val="•"/>
      <w:lvlJc w:val="left"/>
      <w:pPr>
        <w:ind w:left="2032" w:hanging="101"/>
      </w:pPr>
      <w:rPr>
        <w:rFonts w:hint="default"/>
        <w:lang w:val="pl-PL" w:eastAsia="en-US" w:bidi="ar-SA"/>
      </w:rPr>
    </w:lvl>
    <w:lvl w:ilvl="3" w:tplc="76866E86">
      <w:numFmt w:val="bullet"/>
      <w:lvlText w:val="•"/>
      <w:lvlJc w:val="left"/>
      <w:pPr>
        <w:ind w:left="3008" w:hanging="101"/>
      </w:pPr>
      <w:rPr>
        <w:rFonts w:hint="default"/>
        <w:lang w:val="pl-PL" w:eastAsia="en-US" w:bidi="ar-SA"/>
      </w:rPr>
    </w:lvl>
    <w:lvl w:ilvl="4" w:tplc="AC3268C0">
      <w:numFmt w:val="bullet"/>
      <w:lvlText w:val="•"/>
      <w:lvlJc w:val="left"/>
      <w:pPr>
        <w:ind w:left="3984" w:hanging="101"/>
      </w:pPr>
      <w:rPr>
        <w:rFonts w:hint="default"/>
        <w:lang w:val="pl-PL" w:eastAsia="en-US" w:bidi="ar-SA"/>
      </w:rPr>
    </w:lvl>
    <w:lvl w:ilvl="5" w:tplc="FDF677F0">
      <w:numFmt w:val="bullet"/>
      <w:lvlText w:val="•"/>
      <w:lvlJc w:val="left"/>
      <w:pPr>
        <w:ind w:left="4960" w:hanging="101"/>
      </w:pPr>
      <w:rPr>
        <w:rFonts w:hint="default"/>
        <w:lang w:val="pl-PL" w:eastAsia="en-US" w:bidi="ar-SA"/>
      </w:rPr>
    </w:lvl>
    <w:lvl w:ilvl="6" w:tplc="A260A6DE">
      <w:numFmt w:val="bullet"/>
      <w:lvlText w:val="•"/>
      <w:lvlJc w:val="left"/>
      <w:pPr>
        <w:ind w:left="5936" w:hanging="101"/>
      </w:pPr>
      <w:rPr>
        <w:rFonts w:hint="default"/>
        <w:lang w:val="pl-PL" w:eastAsia="en-US" w:bidi="ar-SA"/>
      </w:rPr>
    </w:lvl>
    <w:lvl w:ilvl="7" w:tplc="228823EE">
      <w:numFmt w:val="bullet"/>
      <w:lvlText w:val="•"/>
      <w:lvlJc w:val="left"/>
      <w:pPr>
        <w:ind w:left="6912" w:hanging="101"/>
      </w:pPr>
      <w:rPr>
        <w:rFonts w:hint="default"/>
        <w:lang w:val="pl-PL" w:eastAsia="en-US" w:bidi="ar-SA"/>
      </w:rPr>
    </w:lvl>
    <w:lvl w:ilvl="8" w:tplc="C4DA59FA">
      <w:numFmt w:val="bullet"/>
      <w:lvlText w:val="•"/>
      <w:lvlJc w:val="left"/>
      <w:pPr>
        <w:ind w:left="7888" w:hanging="101"/>
      </w:pPr>
      <w:rPr>
        <w:rFonts w:hint="default"/>
        <w:lang w:val="pl-PL" w:eastAsia="en-US" w:bidi="ar-SA"/>
      </w:rPr>
    </w:lvl>
  </w:abstractNum>
  <w:abstractNum w:abstractNumId="3">
    <w:nsid w:val="0B920F18"/>
    <w:multiLevelType w:val="hybridMultilevel"/>
    <w:tmpl w:val="6BFE53D8"/>
    <w:lvl w:ilvl="0" w:tplc="F614F920">
      <w:numFmt w:val="bullet"/>
      <w:lvlText w:val="-"/>
      <w:lvlJc w:val="left"/>
      <w:pPr>
        <w:ind w:left="170" w:hanging="99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l-PL" w:eastAsia="en-US" w:bidi="ar-SA"/>
      </w:rPr>
    </w:lvl>
    <w:lvl w:ilvl="1" w:tplc="D44C0A96">
      <w:numFmt w:val="bullet"/>
      <w:lvlText w:val="•"/>
      <w:lvlJc w:val="left"/>
      <w:pPr>
        <w:ind w:left="1146" w:hanging="99"/>
      </w:pPr>
      <w:rPr>
        <w:rFonts w:hint="default"/>
        <w:lang w:val="pl-PL" w:eastAsia="en-US" w:bidi="ar-SA"/>
      </w:rPr>
    </w:lvl>
    <w:lvl w:ilvl="2" w:tplc="72A83A22">
      <w:numFmt w:val="bullet"/>
      <w:lvlText w:val="•"/>
      <w:lvlJc w:val="left"/>
      <w:pPr>
        <w:ind w:left="2112" w:hanging="99"/>
      </w:pPr>
      <w:rPr>
        <w:rFonts w:hint="default"/>
        <w:lang w:val="pl-PL" w:eastAsia="en-US" w:bidi="ar-SA"/>
      </w:rPr>
    </w:lvl>
    <w:lvl w:ilvl="3" w:tplc="778CA600">
      <w:numFmt w:val="bullet"/>
      <w:lvlText w:val="•"/>
      <w:lvlJc w:val="left"/>
      <w:pPr>
        <w:ind w:left="3078" w:hanging="99"/>
      </w:pPr>
      <w:rPr>
        <w:rFonts w:hint="default"/>
        <w:lang w:val="pl-PL" w:eastAsia="en-US" w:bidi="ar-SA"/>
      </w:rPr>
    </w:lvl>
    <w:lvl w:ilvl="4" w:tplc="01EAE656">
      <w:numFmt w:val="bullet"/>
      <w:lvlText w:val="•"/>
      <w:lvlJc w:val="left"/>
      <w:pPr>
        <w:ind w:left="4044" w:hanging="99"/>
      </w:pPr>
      <w:rPr>
        <w:rFonts w:hint="default"/>
        <w:lang w:val="pl-PL" w:eastAsia="en-US" w:bidi="ar-SA"/>
      </w:rPr>
    </w:lvl>
    <w:lvl w:ilvl="5" w:tplc="32ECE12C">
      <w:numFmt w:val="bullet"/>
      <w:lvlText w:val="•"/>
      <w:lvlJc w:val="left"/>
      <w:pPr>
        <w:ind w:left="5010" w:hanging="99"/>
      </w:pPr>
      <w:rPr>
        <w:rFonts w:hint="default"/>
        <w:lang w:val="pl-PL" w:eastAsia="en-US" w:bidi="ar-SA"/>
      </w:rPr>
    </w:lvl>
    <w:lvl w:ilvl="6" w:tplc="DFE63910">
      <w:numFmt w:val="bullet"/>
      <w:lvlText w:val="•"/>
      <w:lvlJc w:val="left"/>
      <w:pPr>
        <w:ind w:left="5976" w:hanging="99"/>
      </w:pPr>
      <w:rPr>
        <w:rFonts w:hint="default"/>
        <w:lang w:val="pl-PL" w:eastAsia="en-US" w:bidi="ar-SA"/>
      </w:rPr>
    </w:lvl>
    <w:lvl w:ilvl="7" w:tplc="785AB22E">
      <w:numFmt w:val="bullet"/>
      <w:lvlText w:val="•"/>
      <w:lvlJc w:val="left"/>
      <w:pPr>
        <w:ind w:left="6942" w:hanging="99"/>
      </w:pPr>
      <w:rPr>
        <w:rFonts w:hint="default"/>
        <w:lang w:val="pl-PL" w:eastAsia="en-US" w:bidi="ar-SA"/>
      </w:rPr>
    </w:lvl>
    <w:lvl w:ilvl="8" w:tplc="3508D95E">
      <w:numFmt w:val="bullet"/>
      <w:lvlText w:val="•"/>
      <w:lvlJc w:val="left"/>
      <w:pPr>
        <w:ind w:left="7908" w:hanging="99"/>
      </w:pPr>
      <w:rPr>
        <w:rFonts w:hint="default"/>
        <w:lang w:val="pl-PL" w:eastAsia="en-US" w:bidi="ar-SA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D835E5"/>
    <w:multiLevelType w:val="hybridMultilevel"/>
    <w:tmpl w:val="8C4A6DAA"/>
    <w:lvl w:ilvl="0" w:tplc="6D1EB370">
      <w:numFmt w:val="bullet"/>
      <w:lvlText w:val="-"/>
      <w:lvlJc w:val="left"/>
      <w:pPr>
        <w:ind w:left="173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l-PL" w:eastAsia="en-US" w:bidi="ar-SA"/>
      </w:rPr>
    </w:lvl>
    <w:lvl w:ilvl="1" w:tplc="6E40E514">
      <w:numFmt w:val="bullet"/>
      <w:lvlText w:val="•"/>
      <w:lvlJc w:val="left"/>
      <w:pPr>
        <w:ind w:left="1146" w:hanging="101"/>
      </w:pPr>
      <w:rPr>
        <w:rFonts w:hint="default"/>
        <w:lang w:val="pl-PL" w:eastAsia="en-US" w:bidi="ar-SA"/>
      </w:rPr>
    </w:lvl>
    <w:lvl w:ilvl="2" w:tplc="E8721EBE">
      <w:numFmt w:val="bullet"/>
      <w:lvlText w:val="•"/>
      <w:lvlJc w:val="left"/>
      <w:pPr>
        <w:ind w:left="2112" w:hanging="101"/>
      </w:pPr>
      <w:rPr>
        <w:rFonts w:hint="default"/>
        <w:lang w:val="pl-PL" w:eastAsia="en-US" w:bidi="ar-SA"/>
      </w:rPr>
    </w:lvl>
    <w:lvl w:ilvl="3" w:tplc="BE127350">
      <w:numFmt w:val="bullet"/>
      <w:lvlText w:val="•"/>
      <w:lvlJc w:val="left"/>
      <w:pPr>
        <w:ind w:left="3078" w:hanging="101"/>
      </w:pPr>
      <w:rPr>
        <w:rFonts w:hint="default"/>
        <w:lang w:val="pl-PL" w:eastAsia="en-US" w:bidi="ar-SA"/>
      </w:rPr>
    </w:lvl>
    <w:lvl w:ilvl="4" w:tplc="55366EF2">
      <w:numFmt w:val="bullet"/>
      <w:lvlText w:val="•"/>
      <w:lvlJc w:val="left"/>
      <w:pPr>
        <w:ind w:left="4044" w:hanging="101"/>
      </w:pPr>
      <w:rPr>
        <w:rFonts w:hint="default"/>
        <w:lang w:val="pl-PL" w:eastAsia="en-US" w:bidi="ar-SA"/>
      </w:rPr>
    </w:lvl>
    <w:lvl w:ilvl="5" w:tplc="A34E6484">
      <w:numFmt w:val="bullet"/>
      <w:lvlText w:val="•"/>
      <w:lvlJc w:val="left"/>
      <w:pPr>
        <w:ind w:left="5010" w:hanging="101"/>
      </w:pPr>
      <w:rPr>
        <w:rFonts w:hint="default"/>
        <w:lang w:val="pl-PL" w:eastAsia="en-US" w:bidi="ar-SA"/>
      </w:rPr>
    </w:lvl>
    <w:lvl w:ilvl="6" w:tplc="939E7CF2">
      <w:numFmt w:val="bullet"/>
      <w:lvlText w:val="•"/>
      <w:lvlJc w:val="left"/>
      <w:pPr>
        <w:ind w:left="5976" w:hanging="101"/>
      </w:pPr>
      <w:rPr>
        <w:rFonts w:hint="default"/>
        <w:lang w:val="pl-PL" w:eastAsia="en-US" w:bidi="ar-SA"/>
      </w:rPr>
    </w:lvl>
    <w:lvl w:ilvl="7" w:tplc="B9D23586">
      <w:numFmt w:val="bullet"/>
      <w:lvlText w:val="•"/>
      <w:lvlJc w:val="left"/>
      <w:pPr>
        <w:ind w:left="6942" w:hanging="101"/>
      </w:pPr>
      <w:rPr>
        <w:rFonts w:hint="default"/>
        <w:lang w:val="pl-PL" w:eastAsia="en-US" w:bidi="ar-SA"/>
      </w:rPr>
    </w:lvl>
    <w:lvl w:ilvl="8" w:tplc="E716D072">
      <w:numFmt w:val="bullet"/>
      <w:lvlText w:val="•"/>
      <w:lvlJc w:val="left"/>
      <w:pPr>
        <w:ind w:left="7908" w:hanging="101"/>
      </w:pPr>
      <w:rPr>
        <w:rFonts w:hint="default"/>
        <w:lang w:val="pl-PL" w:eastAsia="en-US" w:bidi="ar-SA"/>
      </w:rPr>
    </w:lvl>
  </w:abstractNum>
  <w:abstractNum w:abstractNumId="11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17"/>
  </w:num>
  <w:num w:numId="14">
    <w:abstractNumId w:val="4"/>
  </w:num>
  <w:num w:numId="15">
    <w:abstractNumId w:val="12"/>
  </w:num>
  <w:num w:numId="16">
    <w:abstractNumId w:val="2"/>
  </w:num>
  <w:num w:numId="17">
    <w:abstractNumId w:val="10"/>
  </w:num>
  <w:num w:numId="1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30F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350B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63ED4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5878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0821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2B47"/>
    <w:rsid w:val="008740CC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1EF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1BD1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0DC6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240C"/>
    <w:rsid w:val="00E13082"/>
    <w:rsid w:val="00E219A2"/>
    <w:rsid w:val="00E235B2"/>
    <w:rsid w:val="00E267AA"/>
    <w:rsid w:val="00E30688"/>
    <w:rsid w:val="00E3256F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560A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TableParagraph">
    <w:name w:val="Table Paragraph"/>
    <w:basedOn w:val="Normalny"/>
    <w:uiPriority w:val="1"/>
    <w:qFormat/>
    <w:rsid w:val="009011EF"/>
    <w:pPr>
      <w:suppressAutoHyphens w:val="0"/>
      <w:autoSpaceDE w:val="0"/>
      <w:textAlignment w:val="auto"/>
    </w:pPr>
    <w:rPr>
      <w:rFonts w:ascii="Liberation Sans Narrow" w:eastAsia="Liberation Sans Narrow" w:hAnsi="Liberation Sans Narrow" w:cs="Liberation Sans Narrow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822AC-3C8F-4EA1-BB13-3BD43C702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14</Pages>
  <Words>4801</Words>
  <Characters>28806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88</cp:revision>
  <cp:lastPrinted>2022-01-14T09:43:00Z</cp:lastPrinted>
  <dcterms:created xsi:type="dcterms:W3CDTF">2020-04-24T09:30:00Z</dcterms:created>
  <dcterms:modified xsi:type="dcterms:W3CDTF">2022-07-06T06:46:00Z</dcterms:modified>
</cp:coreProperties>
</file>