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5DF1" w:rsidRPr="000A2EFD" w:rsidRDefault="004A1F11" w:rsidP="000A2EFD">
      <w:pPr>
        <w:rPr>
          <w:rFonts w:ascii="Arial Narrow" w:hAnsi="Arial Narrow" w:cs="Arial"/>
          <w:sz w:val="22"/>
          <w:szCs w:val="24"/>
        </w:rPr>
      </w:pPr>
      <w:r w:rsidRPr="000A2EFD">
        <w:rPr>
          <w:rFonts w:ascii="Arial Narrow" w:hAnsi="Arial Narrow" w:cs="Arial"/>
          <w:b/>
          <w:bCs/>
          <w:sz w:val="22"/>
          <w:szCs w:val="24"/>
        </w:rPr>
        <w:t>10WSzKzP SPZOZ</w:t>
      </w:r>
      <w:r w:rsidR="000A2EFD" w:rsidRPr="000A2EFD">
        <w:rPr>
          <w:rFonts w:ascii="Arial Narrow" w:hAnsi="Arial Narrow" w:cs="Arial"/>
          <w:sz w:val="22"/>
          <w:szCs w:val="24"/>
        </w:rPr>
        <w:t xml:space="preserve"> </w:t>
      </w:r>
      <w:r w:rsidR="000A2EFD">
        <w:rPr>
          <w:rFonts w:ascii="Arial Narrow" w:hAnsi="Arial Narrow" w:cs="Arial"/>
          <w:sz w:val="22"/>
          <w:szCs w:val="24"/>
        </w:rPr>
        <w:tab/>
      </w:r>
      <w:r w:rsidR="000A2EFD">
        <w:rPr>
          <w:rFonts w:ascii="Arial Narrow" w:hAnsi="Arial Narrow" w:cs="Arial"/>
          <w:sz w:val="22"/>
          <w:szCs w:val="24"/>
        </w:rPr>
        <w:tab/>
      </w:r>
      <w:r w:rsidR="000A2EFD">
        <w:rPr>
          <w:rFonts w:ascii="Arial Narrow" w:hAnsi="Arial Narrow" w:cs="Arial"/>
          <w:sz w:val="22"/>
          <w:szCs w:val="24"/>
        </w:rPr>
        <w:tab/>
      </w:r>
      <w:r w:rsidR="000A2EFD">
        <w:rPr>
          <w:rFonts w:ascii="Arial Narrow" w:hAnsi="Arial Narrow" w:cs="Arial"/>
          <w:sz w:val="22"/>
          <w:szCs w:val="24"/>
        </w:rPr>
        <w:tab/>
      </w:r>
      <w:r w:rsidR="000A2EFD">
        <w:rPr>
          <w:rFonts w:ascii="Arial Narrow" w:hAnsi="Arial Narrow" w:cs="Arial"/>
          <w:sz w:val="22"/>
          <w:szCs w:val="24"/>
        </w:rPr>
        <w:tab/>
      </w:r>
      <w:r w:rsidR="000A2EFD">
        <w:rPr>
          <w:rFonts w:ascii="Arial Narrow" w:hAnsi="Arial Narrow" w:cs="Arial"/>
          <w:sz w:val="22"/>
          <w:szCs w:val="24"/>
        </w:rPr>
        <w:tab/>
      </w:r>
      <w:r w:rsidR="000A2EFD" w:rsidRPr="000A2EFD">
        <w:rPr>
          <w:rFonts w:ascii="Arial Narrow" w:hAnsi="Arial Narrow" w:cs="Arial"/>
          <w:sz w:val="22"/>
          <w:szCs w:val="24"/>
        </w:rPr>
        <w:t>Bydgoszcz dnia: 2022-07-13</w:t>
      </w:r>
    </w:p>
    <w:p w:rsidR="006A5DF1" w:rsidRPr="000A2EFD" w:rsidRDefault="004A1F11" w:rsidP="006A5DF1">
      <w:pPr>
        <w:rPr>
          <w:rFonts w:ascii="Arial Narrow" w:hAnsi="Arial Narrow" w:cs="Arial"/>
          <w:sz w:val="22"/>
          <w:szCs w:val="24"/>
        </w:rPr>
      </w:pPr>
      <w:r w:rsidRPr="000A2EFD">
        <w:rPr>
          <w:rFonts w:ascii="Arial Narrow" w:hAnsi="Arial Narrow" w:cs="Arial"/>
          <w:sz w:val="22"/>
          <w:szCs w:val="24"/>
        </w:rPr>
        <w:t>Powstańców Warszawy</w:t>
      </w:r>
      <w:r w:rsidR="006A5DF1" w:rsidRPr="000A2EFD">
        <w:rPr>
          <w:rFonts w:ascii="Arial Narrow" w:hAnsi="Arial Narrow" w:cs="Arial"/>
          <w:sz w:val="22"/>
          <w:szCs w:val="24"/>
        </w:rPr>
        <w:t xml:space="preserve"> </w:t>
      </w:r>
      <w:r w:rsidRPr="000A2EFD">
        <w:rPr>
          <w:rFonts w:ascii="Arial Narrow" w:hAnsi="Arial Narrow" w:cs="Arial"/>
          <w:sz w:val="22"/>
          <w:szCs w:val="24"/>
        </w:rPr>
        <w:t>5</w:t>
      </w:r>
    </w:p>
    <w:p w:rsidR="006A5DF1" w:rsidRPr="000A2EFD" w:rsidRDefault="004A1F11" w:rsidP="006A5DF1">
      <w:pPr>
        <w:rPr>
          <w:rFonts w:ascii="Arial Narrow" w:hAnsi="Arial Narrow" w:cs="Arial"/>
          <w:sz w:val="22"/>
          <w:szCs w:val="24"/>
        </w:rPr>
      </w:pPr>
      <w:r w:rsidRPr="000A2EFD">
        <w:rPr>
          <w:rFonts w:ascii="Arial Narrow" w:hAnsi="Arial Narrow" w:cs="Arial"/>
          <w:sz w:val="22"/>
          <w:szCs w:val="24"/>
        </w:rPr>
        <w:t>85-681</w:t>
      </w:r>
      <w:r w:rsidR="006A5DF1" w:rsidRPr="000A2EFD">
        <w:rPr>
          <w:rFonts w:ascii="Arial Narrow" w:hAnsi="Arial Narrow" w:cs="Arial"/>
          <w:sz w:val="22"/>
          <w:szCs w:val="24"/>
        </w:rPr>
        <w:t xml:space="preserve"> </w:t>
      </w:r>
      <w:r w:rsidRPr="000A2EFD">
        <w:rPr>
          <w:rFonts w:ascii="Arial Narrow" w:hAnsi="Arial Narrow" w:cs="Arial"/>
          <w:sz w:val="22"/>
          <w:szCs w:val="24"/>
        </w:rPr>
        <w:t>Bydgoszcz</w:t>
      </w:r>
    </w:p>
    <w:p w:rsidR="006A5DF1" w:rsidRPr="000A2EFD" w:rsidRDefault="006A5DF1" w:rsidP="006A5DF1">
      <w:pPr>
        <w:pStyle w:val="Nagwek"/>
        <w:tabs>
          <w:tab w:val="clear" w:pos="4536"/>
          <w:tab w:val="clear" w:pos="9072"/>
        </w:tabs>
        <w:rPr>
          <w:rFonts w:ascii="Arial Narrow" w:hAnsi="Arial Narrow" w:cs="Arial"/>
          <w:sz w:val="22"/>
          <w:szCs w:val="24"/>
        </w:rPr>
      </w:pPr>
    </w:p>
    <w:p w:rsidR="000A2EFD" w:rsidRPr="000A2EFD" w:rsidRDefault="000A2EFD" w:rsidP="006A5DF1">
      <w:pPr>
        <w:pStyle w:val="Nagwek"/>
        <w:tabs>
          <w:tab w:val="clear" w:pos="4536"/>
        </w:tabs>
        <w:rPr>
          <w:rFonts w:ascii="Arial Narrow" w:hAnsi="Arial Narrow" w:cs="Arial"/>
          <w:b/>
          <w:sz w:val="22"/>
          <w:szCs w:val="24"/>
        </w:rPr>
      </w:pPr>
      <w:r w:rsidRPr="000A2EFD">
        <w:rPr>
          <w:rFonts w:ascii="Arial Narrow" w:hAnsi="Arial Narrow" w:cs="Arial"/>
          <w:b/>
          <w:sz w:val="22"/>
          <w:szCs w:val="24"/>
        </w:rPr>
        <w:t>Pismo:</w:t>
      </w:r>
      <w:r w:rsidR="00FB5C98">
        <w:rPr>
          <w:rFonts w:ascii="Arial Narrow" w:hAnsi="Arial Narrow" w:cs="Arial"/>
          <w:b/>
          <w:sz w:val="22"/>
          <w:szCs w:val="24"/>
        </w:rPr>
        <w:t xml:space="preserve"> 5765/22</w:t>
      </w:r>
    </w:p>
    <w:p w:rsidR="006A5DF1" w:rsidRPr="000A2EFD" w:rsidRDefault="000A2EFD" w:rsidP="006A5DF1">
      <w:pPr>
        <w:pStyle w:val="Nagwek"/>
        <w:tabs>
          <w:tab w:val="clear" w:pos="4536"/>
        </w:tabs>
        <w:rPr>
          <w:rFonts w:ascii="Arial Narrow" w:hAnsi="Arial Narrow" w:cs="Arial"/>
          <w:b/>
          <w:sz w:val="22"/>
          <w:szCs w:val="24"/>
        </w:rPr>
      </w:pPr>
      <w:r w:rsidRPr="000A2EFD">
        <w:rPr>
          <w:rFonts w:ascii="Arial Narrow" w:hAnsi="Arial Narrow" w:cs="Arial"/>
          <w:b/>
          <w:sz w:val="22"/>
          <w:szCs w:val="24"/>
        </w:rPr>
        <w:t>Sprawa nr: 91/2022</w:t>
      </w:r>
      <w:r w:rsidR="006A5DF1" w:rsidRPr="000A2EFD">
        <w:rPr>
          <w:rFonts w:ascii="Arial Narrow" w:hAnsi="Arial Narrow" w:cs="Arial"/>
          <w:b/>
          <w:sz w:val="22"/>
          <w:szCs w:val="24"/>
        </w:rPr>
        <w:tab/>
        <w:t xml:space="preserve"> </w:t>
      </w:r>
    </w:p>
    <w:p w:rsidR="006A5DF1" w:rsidRPr="000A2EFD" w:rsidRDefault="006A5DF1" w:rsidP="006A5DF1">
      <w:pPr>
        <w:pStyle w:val="Nagwek"/>
        <w:tabs>
          <w:tab w:val="clear" w:pos="4536"/>
          <w:tab w:val="clear" w:pos="9072"/>
        </w:tabs>
        <w:rPr>
          <w:rFonts w:ascii="Arial Narrow" w:hAnsi="Arial Narrow" w:cs="Arial"/>
          <w:b/>
          <w:sz w:val="22"/>
          <w:szCs w:val="24"/>
        </w:rPr>
      </w:pPr>
    </w:p>
    <w:p w:rsidR="006A5DF1" w:rsidRPr="000A2EFD" w:rsidRDefault="006A5DF1" w:rsidP="009003D1">
      <w:pPr>
        <w:tabs>
          <w:tab w:val="left" w:pos="708"/>
          <w:tab w:val="center" w:pos="4536"/>
          <w:tab w:val="right" w:pos="9072"/>
        </w:tabs>
        <w:spacing w:after="20"/>
        <w:ind w:left="4820"/>
        <w:rPr>
          <w:rFonts w:ascii="Arial Narrow" w:hAnsi="Arial Narrow" w:cs="Arial"/>
          <w:b/>
          <w:sz w:val="22"/>
          <w:szCs w:val="24"/>
        </w:rPr>
      </w:pPr>
      <w:r w:rsidRPr="000A2EFD">
        <w:rPr>
          <w:rFonts w:ascii="Arial Narrow" w:hAnsi="Arial Narrow" w:cs="Arial"/>
          <w:b/>
          <w:sz w:val="22"/>
          <w:szCs w:val="24"/>
        </w:rPr>
        <w:t>WYKONAWCY</w:t>
      </w:r>
    </w:p>
    <w:p w:rsidR="006A5DF1" w:rsidRPr="000A2EFD" w:rsidRDefault="006A5DF1" w:rsidP="009003D1">
      <w:pPr>
        <w:tabs>
          <w:tab w:val="left" w:pos="708"/>
          <w:tab w:val="center" w:pos="4536"/>
          <w:tab w:val="right" w:pos="9072"/>
        </w:tabs>
        <w:spacing w:after="20"/>
        <w:ind w:left="4820"/>
        <w:rPr>
          <w:rFonts w:ascii="Arial Narrow" w:hAnsi="Arial Narrow" w:cs="Arial"/>
          <w:sz w:val="22"/>
          <w:szCs w:val="24"/>
        </w:rPr>
      </w:pPr>
      <w:r w:rsidRPr="000A2EFD">
        <w:rPr>
          <w:rFonts w:ascii="Arial Narrow" w:hAnsi="Arial Narrow" w:cs="Arial"/>
          <w:sz w:val="22"/>
          <w:szCs w:val="24"/>
        </w:rPr>
        <w:t>ubiegający się o zamówienie publiczne</w:t>
      </w:r>
    </w:p>
    <w:p w:rsidR="006D4AB3" w:rsidRPr="000A2EFD" w:rsidRDefault="006D4AB3">
      <w:pPr>
        <w:pStyle w:val="Nagwek"/>
        <w:tabs>
          <w:tab w:val="clear" w:pos="4536"/>
        </w:tabs>
        <w:rPr>
          <w:rFonts w:ascii="Arial Narrow" w:hAnsi="Arial Narrow" w:cs="Arial"/>
          <w:szCs w:val="22"/>
        </w:rPr>
      </w:pPr>
    </w:p>
    <w:p w:rsidR="00632C3C" w:rsidRPr="00A077A0" w:rsidRDefault="00E21B49" w:rsidP="0029606A">
      <w:pPr>
        <w:pStyle w:val="Nagwek1"/>
        <w:spacing w:after="480" w:line="276" w:lineRule="auto"/>
        <w:jc w:val="center"/>
        <w:rPr>
          <w:rFonts w:ascii="Arial Narrow" w:hAnsi="Arial Narrow" w:cs="Arial"/>
          <w:szCs w:val="28"/>
        </w:rPr>
      </w:pPr>
      <w:r w:rsidRPr="00A077A0">
        <w:rPr>
          <w:rFonts w:ascii="Arial Narrow" w:hAnsi="Arial Narrow" w:cs="Arial"/>
          <w:szCs w:val="28"/>
        </w:rPr>
        <w:t>WYJAŚNIENI</w:t>
      </w:r>
      <w:r w:rsidR="00520165" w:rsidRPr="00A077A0">
        <w:rPr>
          <w:rFonts w:ascii="Arial Narrow" w:hAnsi="Arial Narrow" w:cs="Arial"/>
          <w:szCs w:val="28"/>
        </w:rPr>
        <w:t>A</w:t>
      </w:r>
      <w:r w:rsidR="00632C3C" w:rsidRPr="00A077A0">
        <w:rPr>
          <w:rFonts w:ascii="Arial Narrow" w:hAnsi="Arial Narrow" w:cs="Arial"/>
          <w:szCs w:val="28"/>
        </w:rPr>
        <w:t xml:space="preserve"> TREŚCI</w:t>
      </w:r>
      <w:r w:rsidR="0029606A" w:rsidRPr="00A077A0">
        <w:rPr>
          <w:rFonts w:ascii="Arial Narrow" w:hAnsi="Arial Narrow" w:cs="Arial"/>
          <w:szCs w:val="28"/>
        </w:rPr>
        <w:t xml:space="preserve"> SWZ</w:t>
      </w:r>
    </w:p>
    <w:p w:rsidR="006D4AB3" w:rsidRPr="000A2EFD" w:rsidRDefault="00632C3C" w:rsidP="00520165">
      <w:pPr>
        <w:spacing w:after="360" w:line="276" w:lineRule="auto"/>
        <w:jc w:val="both"/>
        <w:rPr>
          <w:rFonts w:ascii="Arial Narrow" w:hAnsi="Arial Narrow" w:cs="Arial"/>
          <w:sz w:val="22"/>
          <w:szCs w:val="24"/>
        </w:rPr>
      </w:pPr>
      <w:r w:rsidRPr="000A2EFD">
        <w:rPr>
          <w:rFonts w:ascii="Arial Narrow" w:hAnsi="Arial Narrow" w:cs="Arial"/>
          <w:sz w:val="22"/>
          <w:szCs w:val="24"/>
        </w:rPr>
        <w:t xml:space="preserve">Dotyczy: </w:t>
      </w:r>
      <w:r w:rsidR="006A5DF1" w:rsidRPr="000A2EFD">
        <w:rPr>
          <w:rFonts w:ascii="Arial Narrow" w:hAnsi="Arial Narrow" w:cs="Arial"/>
          <w:sz w:val="22"/>
          <w:szCs w:val="24"/>
        </w:rPr>
        <w:t>p</w:t>
      </w:r>
      <w:r w:rsidRPr="000A2EFD">
        <w:rPr>
          <w:rFonts w:ascii="Arial Narrow" w:hAnsi="Arial Narrow" w:cs="Arial"/>
          <w:sz w:val="22"/>
          <w:szCs w:val="24"/>
        </w:rPr>
        <w:t>ostępowani</w:t>
      </w:r>
      <w:r w:rsidR="006A5DF1" w:rsidRPr="000A2EFD">
        <w:rPr>
          <w:rFonts w:ascii="Arial Narrow" w:hAnsi="Arial Narrow" w:cs="Arial"/>
          <w:sz w:val="22"/>
          <w:szCs w:val="24"/>
        </w:rPr>
        <w:t>a</w:t>
      </w:r>
      <w:r w:rsidRPr="000A2EFD">
        <w:rPr>
          <w:rFonts w:ascii="Arial Narrow" w:hAnsi="Arial Narrow" w:cs="Arial"/>
          <w:sz w:val="22"/>
          <w:szCs w:val="24"/>
        </w:rPr>
        <w:t xml:space="preserve"> o udzielenie zamówienia publicznego, prowadzone</w:t>
      </w:r>
      <w:r w:rsidR="006A5DF1" w:rsidRPr="000A2EFD">
        <w:rPr>
          <w:rFonts w:ascii="Arial Narrow" w:hAnsi="Arial Narrow" w:cs="Arial"/>
          <w:sz w:val="22"/>
          <w:szCs w:val="24"/>
        </w:rPr>
        <w:t>go</w:t>
      </w:r>
      <w:r w:rsidRPr="000A2EFD">
        <w:rPr>
          <w:rFonts w:ascii="Arial Narrow" w:hAnsi="Arial Narrow" w:cs="Arial"/>
          <w:sz w:val="22"/>
          <w:szCs w:val="24"/>
        </w:rPr>
        <w:t xml:space="preserve"> w trybie </w:t>
      </w:r>
      <w:r w:rsidR="004A1F11" w:rsidRPr="000A2EFD">
        <w:rPr>
          <w:rFonts w:ascii="Arial Narrow" w:hAnsi="Arial Narrow" w:cs="Arial"/>
          <w:sz w:val="22"/>
          <w:szCs w:val="24"/>
        </w:rPr>
        <w:t>przetarg</w:t>
      </w:r>
      <w:r w:rsidR="000A2EFD">
        <w:rPr>
          <w:rFonts w:ascii="Arial Narrow" w:hAnsi="Arial Narrow" w:cs="Arial"/>
          <w:sz w:val="22"/>
          <w:szCs w:val="24"/>
        </w:rPr>
        <w:t>u</w:t>
      </w:r>
      <w:r w:rsidR="004A1F11" w:rsidRPr="000A2EFD">
        <w:rPr>
          <w:rFonts w:ascii="Arial Narrow" w:hAnsi="Arial Narrow" w:cs="Arial"/>
          <w:sz w:val="22"/>
          <w:szCs w:val="24"/>
        </w:rPr>
        <w:t xml:space="preserve"> nieograniczon</w:t>
      </w:r>
      <w:r w:rsidR="000A2EFD">
        <w:rPr>
          <w:rFonts w:ascii="Arial Narrow" w:hAnsi="Arial Narrow" w:cs="Arial"/>
          <w:sz w:val="22"/>
          <w:szCs w:val="24"/>
        </w:rPr>
        <w:t xml:space="preserve">ego </w:t>
      </w:r>
      <w:r w:rsidRPr="000A2EFD">
        <w:rPr>
          <w:rFonts w:ascii="Arial Narrow" w:hAnsi="Arial Narrow" w:cs="Arial"/>
          <w:bCs/>
          <w:sz w:val="22"/>
          <w:szCs w:val="24"/>
        </w:rPr>
        <w:t>na</w:t>
      </w:r>
      <w:r w:rsidRPr="000A2EFD">
        <w:rPr>
          <w:rFonts w:ascii="Arial Narrow" w:hAnsi="Arial Narrow" w:cs="Arial"/>
          <w:b/>
          <w:sz w:val="22"/>
          <w:szCs w:val="24"/>
        </w:rPr>
        <w:t xml:space="preserve"> </w:t>
      </w:r>
      <w:r w:rsidR="00E72428" w:rsidRPr="000A2EFD">
        <w:rPr>
          <w:rFonts w:ascii="Arial Narrow" w:hAnsi="Arial Narrow" w:cs="Arial"/>
          <w:bCs/>
          <w:sz w:val="22"/>
          <w:szCs w:val="24"/>
        </w:rPr>
        <w:t>”</w:t>
      </w:r>
      <w:r w:rsidR="004A1F11" w:rsidRPr="000A2EFD">
        <w:rPr>
          <w:rFonts w:ascii="Arial Narrow" w:hAnsi="Arial Narrow" w:cs="Arial"/>
          <w:b/>
          <w:bCs/>
          <w:sz w:val="22"/>
          <w:szCs w:val="24"/>
        </w:rPr>
        <w:t>Dostawa ap</w:t>
      </w:r>
      <w:r w:rsidR="000A2EFD">
        <w:rPr>
          <w:rFonts w:ascii="Arial Narrow" w:hAnsi="Arial Narrow" w:cs="Arial"/>
          <w:b/>
          <w:bCs/>
          <w:sz w:val="22"/>
          <w:szCs w:val="24"/>
        </w:rPr>
        <w:t>a</w:t>
      </w:r>
      <w:r w:rsidR="004A1F11" w:rsidRPr="000A2EFD">
        <w:rPr>
          <w:rFonts w:ascii="Arial Narrow" w:hAnsi="Arial Narrow" w:cs="Arial"/>
          <w:b/>
          <w:bCs/>
          <w:sz w:val="22"/>
          <w:szCs w:val="24"/>
        </w:rPr>
        <w:t>ratu do znieczulenia z monitorowaniem</w:t>
      </w:r>
      <w:r w:rsidR="00E72428" w:rsidRPr="000A2EFD">
        <w:rPr>
          <w:rFonts w:ascii="Arial Narrow" w:hAnsi="Arial Narrow" w:cs="Arial"/>
          <w:bCs/>
          <w:sz w:val="22"/>
          <w:szCs w:val="24"/>
        </w:rPr>
        <w:t>”</w:t>
      </w:r>
      <w:r w:rsidRPr="000A2EFD">
        <w:rPr>
          <w:rFonts w:ascii="Arial Narrow" w:hAnsi="Arial Narrow" w:cs="Arial"/>
          <w:b/>
          <w:sz w:val="22"/>
          <w:szCs w:val="24"/>
        </w:rPr>
        <w:t xml:space="preserve"> </w:t>
      </w:r>
      <w:r w:rsidRPr="000A2EFD">
        <w:rPr>
          <w:rFonts w:ascii="Arial Narrow" w:hAnsi="Arial Narrow" w:cs="Arial"/>
          <w:bCs/>
          <w:sz w:val="22"/>
          <w:szCs w:val="24"/>
        </w:rPr>
        <w:t>– znak sprawy</w:t>
      </w:r>
      <w:r w:rsidRPr="000A2EFD">
        <w:rPr>
          <w:rFonts w:ascii="Arial Narrow" w:hAnsi="Arial Narrow" w:cs="Arial"/>
          <w:b/>
          <w:sz w:val="22"/>
          <w:szCs w:val="24"/>
        </w:rPr>
        <w:t xml:space="preserve"> </w:t>
      </w:r>
      <w:r w:rsidR="004A1F11" w:rsidRPr="000A2EFD">
        <w:rPr>
          <w:rFonts w:ascii="Arial Narrow" w:hAnsi="Arial Narrow" w:cs="Arial"/>
          <w:b/>
          <w:sz w:val="22"/>
          <w:szCs w:val="24"/>
        </w:rPr>
        <w:t>91/2022</w:t>
      </w:r>
      <w:r w:rsidRPr="000A2EFD">
        <w:rPr>
          <w:rFonts w:ascii="Arial Narrow" w:hAnsi="Arial Narrow" w:cs="Arial"/>
          <w:b/>
          <w:sz w:val="22"/>
          <w:szCs w:val="24"/>
        </w:rPr>
        <w:t>.</w:t>
      </w:r>
    </w:p>
    <w:p w:rsidR="0012774F" w:rsidRPr="000A2EFD" w:rsidRDefault="00520165" w:rsidP="00D8461B">
      <w:pPr>
        <w:spacing w:after="240" w:line="276" w:lineRule="auto"/>
        <w:jc w:val="both"/>
        <w:rPr>
          <w:rFonts w:ascii="Arial Narrow" w:hAnsi="Arial Narrow" w:cs="Arial"/>
          <w:szCs w:val="22"/>
        </w:rPr>
      </w:pPr>
      <w:r w:rsidRPr="000A2EFD">
        <w:rPr>
          <w:rFonts w:ascii="Arial Narrow" w:hAnsi="Arial Narrow" w:cs="Arial"/>
          <w:sz w:val="22"/>
          <w:szCs w:val="24"/>
        </w:rPr>
        <w:t xml:space="preserve">Zamawiający, </w:t>
      </w:r>
      <w:r w:rsidR="004A1F11" w:rsidRPr="000A2EFD">
        <w:rPr>
          <w:rFonts w:ascii="Arial Narrow" w:hAnsi="Arial Narrow" w:cs="Arial"/>
          <w:b/>
          <w:sz w:val="22"/>
          <w:szCs w:val="24"/>
        </w:rPr>
        <w:t>10WSzKzP SPZOZ</w:t>
      </w:r>
      <w:r w:rsidRPr="000A2EFD">
        <w:rPr>
          <w:rFonts w:ascii="Arial Narrow" w:hAnsi="Arial Narrow" w:cs="Arial"/>
          <w:sz w:val="22"/>
          <w:szCs w:val="24"/>
        </w:rPr>
        <w:t xml:space="preserve">, działając na podstawie art. </w:t>
      </w:r>
      <w:r w:rsidR="0029606A" w:rsidRPr="000A2EFD">
        <w:rPr>
          <w:rFonts w:ascii="Arial Narrow" w:hAnsi="Arial Narrow" w:cs="Arial"/>
          <w:sz w:val="22"/>
          <w:szCs w:val="24"/>
        </w:rPr>
        <w:t>1</w:t>
      </w:r>
      <w:r w:rsidRPr="000A2EFD">
        <w:rPr>
          <w:rFonts w:ascii="Arial Narrow" w:hAnsi="Arial Narrow" w:cs="Arial"/>
          <w:sz w:val="22"/>
          <w:szCs w:val="24"/>
        </w:rPr>
        <w:t>3</w:t>
      </w:r>
      <w:r w:rsidR="0029606A" w:rsidRPr="000A2EFD">
        <w:rPr>
          <w:rFonts w:ascii="Arial Narrow" w:hAnsi="Arial Narrow" w:cs="Arial"/>
          <w:sz w:val="22"/>
          <w:szCs w:val="24"/>
        </w:rPr>
        <w:t>5</w:t>
      </w:r>
      <w:r w:rsidRPr="000A2EFD">
        <w:rPr>
          <w:rFonts w:ascii="Arial Narrow" w:hAnsi="Arial Narrow" w:cs="Arial"/>
          <w:sz w:val="22"/>
          <w:szCs w:val="24"/>
        </w:rPr>
        <w:t xml:space="preserve"> ust</w:t>
      </w:r>
      <w:r w:rsidR="00D9049C" w:rsidRPr="000A2EFD">
        <w:rPr>
          <w:rFonts w:ascii="Arial Narrow" w:hAnsi="Arial Narrow" w:cs="Arial"/>
          <w:sz w:val="22"/>
          <w:szCs w:val="24"/>
        </w:rPr>
        <w:t xml:space="preserve">. </w:t>
      </w:r>
      <w:r w:rsidR="0029606A" w:rsidRPr="000A2EFD">
        <w:rPr>
          <w:rFonts w:ascii="Arial Narrow" w:hAnsi="Arial Narrow" w:cs="Arial"/>
          <w:sz w:val="22"/>
          <w:szCs w:val="24"/>
        </w:rPr>
        <w:t>6</w:t>
      </w:r>
      <w:r w:rsidRPr="000A2EFD">
        <w:rPr>
          <w:rFonts w:ascii="Arial Narrow" w:hAnsi="Arial Narrow" w:cs="Arial"/>
          <w:sz w:val="22"/>
          <w:szCs w:val="24"/>
        </w:rPr>
        <w:t xml:space="preserve"> ustawy z dnia </w:t>
      </w:r>
      <w:r w:rsidR="0029606A" w:rsidRPr="000A2EFD">
        <w:rPr>
          <w:rFonts w:ascii="Arial Narrow" w:hAnsi="Arial Narrow" w:cs="Arial"/>
          <w:sz w:val="22"/>
          <w:szCs w:val="24"/>
        </w:rPr>
        <w:t>11</w:t>
      </w:r>
      <w:r w:rsidRPr="000A2EFD">
        <w:rPr>
          <w:rFonts w:ascii="Arial Narrow" w:hAnsi="Arial Narrow" w:cs="Arial"/>
          <w:sz w:val="22"/>
          <w:szCs w:val="24"/>
        </w:rPr>
        <w:t xml:space="preserve"> </w:t>
      </w:r>
      <w:r w:rsidR="0029606A" w:rsidRPr="000A2EFD">
        <w:rPr>
          <w:rFonts w:ascii="Arial Narrow" w:hAnsi="Arial Narrow" w:cs="Arial"/>
          <w:sz w:val="22"/>
          <w:szCs w:val="24"/>
        </w:rPr>
        <w:t xml:space="preserve">września </w:t>
      </w:r>
      <w:r w:rsidRPr="000A2EFD">
        <w:rPr>
          <w:rFonts w:ascii="Arial Narrow" w:hAnsi="Arial Narrow" w:cs="Arial"/>
          <w:sz w:val="22"/>
          <w:szCs w:val="24"/>
        </w:rPr>
        <w:t>20</w:t>
      </w:r>
      <w:r w:rsidR="0029606A" w:rsidRPr="000A2EFD">
        <w:rPr>
          <w:rFonts w:ascii="Arial Narrow" w:hAnsi="Arial Narrow" w:cs="Arial"/>
          <w:sz w:val="22"/>
          <w:szCs w:val="24"/>
        </w:rPr>
        <w:t>19</w:t>
      </w:r>
      <w:r w:rsidRPr="000A2EFD">
        <w:rPr>
          <w:rFonts w:ascii="Arial Narrow" w:hAnsi="Arial Narrow" w:cs="Arial"/>
          <w:sz w:val="22"/>
          <w:szCs w:val="24"/>
        </w:rPr>
        <w:t xml:space="preserve"> r</w:t>
      </w:r>
      <w:r w:rsidR="0029606A" w:rsidRPr="000A2EFD">
        <w:rPr>
          <w:rFonts w:ascii="Arial Narrow" w:hAnsi="Arial Narrow" w:cs="Arial"/>
          <w:sz w:val="22"/>
          <w:szCs w:val="24"/>
        </w:rPr>
        <w:t>.</w:t>
      </w:r>
      <w:r w:rsidRPr="000A2EFD">
        <w:rPr>
          <w:rFonts w:ascii="Arial Narrow" w:hAnsi="Arial Narrow" w:cs="Arial"/>
          <w:sz w:val="22"/>
          <w:szCs w:val="24"/>
        </w:rPr>
        <w:t xml:space="preserve"> Prawo </w:t>
      </w:r>
      <w:r w:rsidR="0029606A" w:rsidRPr="000A2EFD">
        <w:rPr>
          <w:rFonts w:ascii="Arial Narrow" w:hAnsi="Arial Narrow" w:cs="Arial"/>
          <w:sz w:val="22"/>
          <w:szCs w:val="24"/>
        </w:rPr>
        <w:t>z</w:t>
      </w:r>
      <w:r w:rsidRPr="000A2EFD">
        <w:rPr>
          <w:rFonts w:ascii="Arial Narrow" w:hAnsi="Arial Narrow" w:cs="Arial"/>
          <w:sz w:val="22"/>
          <w:szCs w:val="24"/>
        </w:rPr>
        <w:t xml:space="preserve">amówień </w:t>
      </w:r>
      <w:r w:rsidR="0029606A" w:rsidRPr="000A2EFD">
        <w:rPr>
          <w:rFonts w:ascii="Arial Narrow" w:hAnsi="Arial Narrow" w:cs="Arial"/>
          <w:sz w:val="22"/>
          <w:szCs w:val="24"/>
        </w:rPr>
        <w:t>p</w:t>
      </w:r>
      <w:r w:rsidRPr="000A2EFD">
        <w:rPr>
          <w:rFonts w:ascii="Arial Narrow" w:hAnsi="Arial Narrow" w:cs="Arial"/>
          <w:sz w:val="22"/>
          <w:szCs w:val="24"/>
        </w:rPr>
        <w:t xml:space="preserve">ublicznych </w:t>
      </w:r>
      <w:r w:rsidR="004A1F11" w:rsidRPr="000A2EFD">
        <w:rPr>
          <w:rFonts w:ascii="Arial Narrow" w:hAnsi="Arial Narrow" w:cs="Arial"/>
          <w:sz w:val="22"/>
          <w:szCs w:val="24"/>
        </w:rPr>
        <w:t>(t.j. Dz.U. z 2021r. poz. 1129 z późn. zm.)</w:t>
      </w:r>
      <w:r w:rsidR="00BE7BFD" w:rsidRPr="000A2EFD">
        <w:rPr>
          <w:rFonts w:ascii="Arial Narrow" w:hAnsi="Arial Narrow" w:cs="Arial"/>
          <w:sz w:val="22"/>
          <w:szCs w:val="24"/>
        </w:rPr>
        <w:t xml:space="preserve">, </w:t>
      </w:r>
      <w:r w:rsidR="00D9049C" w:rsidRPr="000A2EFD">
        <w:rPr>
          <w:rFonts w:ascii="Arial Narrow" w:hAnsi="Arial Narrow" w:cs="Arial"/>
          <w:sz w:val="22"/>
          <w:szCs w:val="24"/>
        </w:rPr>
        <w:t>udostępnia</w:t>
      </w:r>
      <w:r w:rsidR="00BE7BFD" w:rsidRPr="000A2EFD">
        <w:rPr>
          <w:rFonts w:ascii="Arial Narrow" w:hAnsi="Arial Narrow" w:cs="Arial"/>
          <w:sz w:val="22"/>
          <w:szCs w:val="24"/>
        </w:rPr>
        <w:t xml:space="preserve"> poniżej treść zapytań do S</w:t>
      </w:r>
      <w:r w:rsidR="0012774F" w:rsidRPr="000A2EFD">
        <w:rPr>
          <w:rFonts w:ascii="Arial Narrow" w:hAnsi="Arial Narrow" w:cs="Arial"/>
          <w:sz w:val="22"/>
          <w:szCs w:val="24"/>
        </w:rPr>
        <w:t>pecyfikacji Warunków Zamówienia (</w:t>
      </w:r>
      <w:r w:rsidR="0012774F" w:rsidRPr="000A2EFD">
        <w:rPr>
          <w:rFonts w:ascii="Arial Narrow" w:hAnsi="Arial Narrow" w:cs="Arial"/>
          <w:sz w:val="22"/>
          <w:szCs w:val="24"/>
          <w:lang w:eastAsia="ar-SA"/>
        </w:rPr>
        <w:t>zwanej dalej</w:t>
      </w:r>
      <w:r w:rsidR="0012774F" w:rsidRPr="000A2EFD">
        <w:rPr>
          <w:rFonts w:ascii="Arial Narrow" w:hAnsi="Arial Narrow" w:cs="Arial"/>
          <w:b/>
          <w:sz w:val="22"/>
          <w:szCs w:val="24"/>
          <w:lang w:eastAsia="ar-SA"/>
        </w:rPr>
        <w:t xml:space="preserve"> </w:t>
      </w:r>
      <w:r w:rsidR="0012774F" w:rsidRPr="000A2EFD">
        <w:rPr>
          <w:rFonts w:ascii="Arial Narrow" w:hAnsi="Arial Narrow" w:cs="Arial"/>
          <w:bCs/>
          <w:sz w:val="22"/>
          <w:szCs w:val="24"/>
          <w:lang w:eastAsia="ar-SA"/>
        </w:rPr>
        <w:t>”SWZ”)</w:t>
      </w:r>
      <w:r w:rsidR="00D9049C" w:rsidRPr="000A2EFD">
        <w:rPr>
          <w:rFonts w:ascii="Arial Narrow" w:hAnsi="Arial Narrow" w:cs="Arial"/>
          <w:bCs/>
          <w:sz w:val="22"/>
          <w:szCs w:val="24"/>
          <w:lang w:eastAsia="ar-SA"/>
        </w:rPr>
        <w:t xml:space="preserve"> </w:t>
      </w:r>
      <w:r w:rsidR="00D9049C" w:rsidRPr="000A2EFD">
        <w:rPr>
          <w:rFonts w:ascii="Arial Narrow" w:hAnsi="Arial Narrow" w:cs="Arial"/>
          <w:sz w:val="22"/>
          <w:szCs w:val="24"/>
        </w:rPr>
        <w:t>wraz z wyjaśnieniami</w:t>
      </w:r>
      <w:r w:rsidR="0012774F" w:rsidRPr="000A2EFD">
        <w:rPr>
          <w:rFonts w:ascii="Arial Narrow" w:hAnsi="Arial Narrow" w:cs="Arial"/>
          <w:bCs/>
          <w:sz w:val="22"/>
          <w:szCs w:val="24"/>
          <w:lang w:eastAsia="ar-SA"/>
        </w:rPr>
        <w:t>:</w:t>
      </w:r>
    </w:p>
    <w:tbl>
      <w:tblPr>
        <w:tblW w:w="9356" w:type="dxa"/>
        <w:tblInd w:w="-34" w:type="dxa"/>
        <w:tblLook w:val="04A0" w:firstRow="1" w:lastRow="0" w:firstColumn="1" w:lastColumn="0" w:noHBand="0" w:noVBand="1"/>
      </w:tblPr>
      <w:tblGrid>
        <w:gridCol w:w="9356"/>
      </w:tblGrid>
      <w:tr w:rsidR="004A1F11" w:rsidRPr="000A2EFD" w:rsidTr="00352B0A">
        <w:tc>
          <w:tcPr>
            <w:tcW w:w="9356" w:type="dxa"/>
            <w:shd w:val="clear" w:color="auto" w:fill="auto"/>
          </w:tcPr>
          <w:p w:rsidR="004A1F11" w:rsidRPr="000A2EFD" w:rsidRDefault="004A1F11" w:rsidP="00352B0A">
            <w:pPr>
              <w:spacing w:after="120"/>
              <w:ind w:left="30" w:right="-72"/>
              <w:jc w:val="both"/>
              <w:rPr>
                <w:rFonts w:ascii="Arial Narrow" w:hAnsi="Arial Narrow" w:cs="Arial"/>
                <w:b/>
                <w:sz w:val="22"/>
                <w:szCs w:val="22"/>
                <w:u w:val="single"/>
              </w:rPr>
            </w:pPr>
            <w:r w:rsidRPr="000A2EFD">
              <w:rPr>
                <w:rFonts w:ascii="Arial Narrow" w:hAnsi="Arial Narrow" w:cs="Arial"/>
                <w:b/>
                <w:sz w:val="22"/>
                <w:szCs w:val="22"/>
                <w:u w:val="single"/>
              </w:rPr>
              <w:t>PYTANIE NR 2:</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Dot. załącznika ,,Specyfikacja techniczna"</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w:t>
            </w:r>
            <w:r w:rsidRPr="000A2EFD">
              <w:rPr>
                <w:rFonts w:ascii="Arial Narrow" w:hAnsi="Arial Narrow" w:cs="Arial"/>
                <w:sz w:val="22"/>
                <w:szCs w:val="22"/>
              </w:rPr>
              <w:tab/>
              <w:t>Czy w przypadku braku potwierdzenia wszystkich parametrów techniczno-użytkowych i warunków granicznych w załączonych dokumentach, zawierających opis oferowanego przedmiotu zamówienia, Zamawiający dopuści złożenie oświadczenia Wykonawcy, będącego autoryzowanym dystrybutorem producenta, potwierdzającego spełnienie parametrów niewyszczególnionych w ww. materiałach?</w:t>
            </w:r>
          </w:p>
          <w:p w:rsidR="004A1F11" w:rsidRPr="000A2EFD" w:rsidRDefault="004A1F11" w:rsidP="00352B0A">
            <w:pPr>
              <w:spacing w:after="120"/>
              <w:ind w:left="30" w:right="-72"/>
              <w:jc w:val="both"/>
              <w:rPr>
                <w:rFonts w:ascii="Arial Narrow" w:hAnsi="Arial Narrow" w:cs="Arial"/>
                <w:b/>
                <w:sz w:val="22"/>
                <w:szCs w:val="22"/>
              </w:rPr>
            </w:pPr>
            <w:r w:rsidRPr="000A2EFD">
              <w:rPr>
                <w:rFonts w:ascii="Arial Narrow" w:hAnsi="Arial Narrow" w:cs="Arial"/>
                <w:b/>
                <w:sz w:val="22"/>
                <w:szCs w:val="22"/>
              </w:rPr>
              <w:t xml:space="preserve">Odpowiedź: Zamawiający wyraża zgodę.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Dot. załącznika ,,Specyfikacja techniczna"</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w:t>
            </w:r>
            <w:r w:rsidRPr="000A2EFD">
              <w:rPr>
                <w:rFonts w:ascii="Arial Narrow" w:hAnsi="Arial Narrow" w:cs="Arial"/>
                <w:sz w:val="22"/>
                <w:szCs w:val="22"/>
              </w:rPr>
              <w:tab/>
              <w:t xml:space="preserve">Pkt. 169 i 170  Praktyka rynkowa dowodzi, że czasami dla wykonania naprawy konieczny jest import części zamiennych spoza UE i dokonania ich odprawy celnej, co zazwyczaj wydłuża czas importu od 2 do 4 dni roboczych. Przy założeniu, że wykonanie diagnostyki nastąpi w ciągu 1 dnia roboczego w takich przypadkach niemożliwe jest ukończenie naprawy w czasie 24 h.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W związku z powyższym czy Zamawiający dopuści czas naprawy do 5 dni roboczych, a  w przypadku konieczności sprowadzenia części zamiennych do 7 dni roboczych ? Terminy napraw określone przez Zamawiającego tj. 24 h oraz 48 h z częściami (dodatkowo liczone w dniach kalendarzowych, a nie roboczych),  są bardzo wymagające i trudne do dotrzymania. </w:t>
            </w:r>
          </w:p>
          <w:p w:rsidR="004A1F11" w:rsidRPr="000A2EFD" w:rsidRDefault="004A1F11" w:rsidP="00352B0A">
            <w:pPr>
              <w:spacing w:after="120"/>
              <w:ind w:left="30" w:right="-72"/>
              <w:jc w:val="both"/>
              <w:rPr>
                <w:rFonts w:ascii="Arial Narrow" w:hAnsi="Arial Narrow" w:cs="Arial"/>
                <w:b/>
                <w:sz w:val="22"/>
                <w:szCs w:val="22"/>
              </w:rPr>
            </w:pPr>
            <w:r w:rsidRPr="000A2EFD">
              <w:rPr>
                <w:rFonts w:ascii="Arial Narrow" w:hAnsi="Arial Narrow" w:cs="Arial"/>
                <w:b/>
                <w:sz w:val="22"/>
                <w:szCs w:val="22"/>
              </w:rPr>
              <w:t xml:space="preserve">Odpowiedź: Zamawiający podtrzymuje zapisy SWZ.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3.</w:t>
            </w:r>
            <w:r w:rsidRPr="000A2EFD">
              <w:rPr>
                <w:rFonts w:ascii="Arial Narrow" w:hAnsi="Arial Narrow" w:cs="Arial"/>
                <w:sz w:val="22"/>
                <w:szCs w:val="22"/>
              </w:rPr>
              <w:tab/>
              <w:t>Pkt. 173 Czy Zamawiający potwierdza, że wstawienie sprzętu zastępczego zwalnia Wykonawcę z kar umownych ?</w:t>
            </w:r>
          </w:p>
          <w:p w:rsidR="004A1F11" w:rsidRPr="00A077A0" w:rsidRDefault="004A1F11" w:rsidP="00352B0A">
            <w:pPr>
              <w:spacing w:after="120"/>
              <w:ind w:left="30" w:right="-72"/>
              <w:jc w:val="both"/>
              <w:rPr>
                <w:rFonts w:ascii="Arial Narrow" w:hAnsi="Arial Narrow" w:cs="Arial"/>
                <w:b/>
                <w:sz w:val="22"/>
                <w:szCs w:val="22"/>
              </w:rPr>
            </w:pPr>
            <w:r w:rsidRPr="00A077A0">
              <w:rPr>
                <w:rFonts w:ascii="Arial Narrow" w:hAnsi="Arial Narrow" w:cs="Arial"/>
                <w:b/>
                <w:sz w:val="22"/>
                <w:szCs w:val="22"/>
              </w:rPr>
              <w:t>Odpowiedź: Zamawiający nie potwierdza. Wstawienie sprzętu zastępczego nie zwalnia Wykonawcy z kar umownych.</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4.</w:t>
            </w:r>
            <w:r w:rsidRPr="000A2EFD">
              <w:rPr>
                <w:rFonts w:ascii="Arial Narrow" w:hAnsi="Arial Narrow" w:cs="Arial"/>
                <w:sz w:val="22"/>
                <w:szCs w:val="22"/>
              </w:rPr>
              <w:tab/>
              <w:t>Pkt. 173 Czy Zamawiający wyrazi zgodę na modyfikacje zapisu w sposób następujący "Sprzęt zastępczy na czas naprawy przekraczający 21 dni kalendarzowych ?</w:t>
            </w:r>
          </w:p>
          <w:p w:rsidR="004A1F11" w:rsidRPr="00A077A0" w:rsidRDefault="004A1F11" w:rsidP="00352B0A">
            <w:pPr>
              <w:spacing w:after="120"/>
              <w:ind w:left="30" w:right="-72"/>
              <w:jc w:val="both"/>
              <w:rPr>
                <w:rFonts w:ascii="Arial Narrow" w:hAnsi="Arial Narrow" w:cs="Arial"/>
                <w:b/>
                <w:sz w:val="22"/>
                <w:szCs w:val="22"/>
              </w:rPr>
            </w:pPr>
            <w:r w:rsidRPr="00A077A0">
              <w:rPr>
                <w:rFonts w:ascii="Arial Narrow" w:hAnsi="Arial Narrow" w:cs="Arial"/>
                <w:b/>
                <w:sz w:val="22"/>
                <w:szCs w:val="22"/>
              </w:rPr>
              <w:t xml:space="preserve">Odpowiedź: Zamawiający podtrzymuje zapisy SWZ.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5.</w:t>
            </w:r>
            <w:r w:rsidRPr="000A2EFD">
              <w:rPr>
                <w:rFonts w:ascii="Arial Narrow" w:hAnsi="Arial Narrow" w:cs="Arial"/>
                <w:sz w:val="22"/>
                <w:szCs w:val="22"/>
              </w:rPr>
              <w:tab/>
              <w:t xml:space="preserve">Pkt. 174 Z uwagi na specyfikę urządzeń medycznych, czynności serwisowe zapewne będą dokonywane, co wynika z normalnej eksploatacji tego typu urządzeń. W naszej ocenie przedłużenie okresu gwarancji powinno nastąpić nie o 3-krotny czas przerwy w eksploatacji, ale o czas przedłużającej się naprawy, ponad terminy </w:t>
            </w:r>
            <w:r w:rsidRPr="000A2EFD">
              <w:rPr>
                <w:rFonts w:ascii="Arial Narrow" w:hAnsi="Arial Narrow" w:cs="Arial"/>
                <w:sz w:val="22"/>
                <w:szCs w:val="22"/>
              </w:rPr>
              <w:lastRenderedPageBreak/>
              <w:t xml:space="preserve">określone w umowie. Wykonawca wnosi o wyjaśnienie czy Zamawiający wyraża zgodę na zmianę treści w/w punktu, poprzez nadanie mu następującej postaci: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"Wszystkie naprawy wydłużające się ponad terminy określone w umowie, przedłużają automatycznie okres gwarancji o czas przestoju, liczony od dnia zgłoszenia wady lub awarii, do dnia przekazania sprawnego urządzenia lub elementu, zespołu, podzespołu urządzenia Zamawiającemu" </w:t>
            </w:r>
          </w:p>
          <w:p w:rsidR="004A1F11" w:rsidRPr="00A077A0" w:rsidRDefault="004A1F11" w:rsidP="00352B0A">
            <w:pPr>
              <w:spacing w:after="120"/>
              <w:ind w:left="30" w:right="-72"/>
              <w:jc w:val="both"/>
              <w:rPr>
                <w:rFonts w:ascii="Arial Narrow" w:hAnsi="Arial Narrow" w:cs="Arial"/>
                <w:b/>
                <w:sz w:val="22"/>
                <w:szCs w:val="22"/>
              </w:rPr>
            </w:pPr>
            <w:r w:rsidRPr="00A077A0">
              <w:rPr>
                <w:rFonts w:ascii="Arial Narrow" w:hAnsi="Arial Narrow" w:cs="Arial"/>
                <w:b/>
                <w:sz w:val="22"/>
                <w:szCs w:val="22"/>
              </w:rPr>
              <w:t xml:space="preserve">Odpowiedź: Zamawiający podtrzymuje zapisy SWZ.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6.</w:t>
            </w:r>
            <w:r w:rsidRPr="000A2EFD">
              <w:rPr>
                <w:rFonts w:ascii="Arial Narrow" w:hAnsi="Arial Narrow" w:cs="Arial"/>
                <w:sz w:val="22"/>
                <w:szCs w:val="22"/>
              </w:rPr>
              <w:tab/>
              <w:t>Pkt. 176 Prosimy o skrócenie terminu gwarantowanej dostępności części zamiennych z 10 lat do 7 lat . Zaznaczyć należy, iż producent, zbywca bądź importer nie mają obowiązku nałożonego prawem, produkcji czy przechowywania części zamiennych przez wymagany przez Zamawiającego okres min 10 lat. Z uwagi na szybkie tempo zmian w wyniku np. zastosowania nowszych technologii, wdrożenia nowego produktu, producent lub dystrybutor może zaprzestać produkcji części zamiennych do produktów sprzed kilku lat. Koszty magazynowania części zamiennych, jakie należy ponieść, aby zadośćuczynić postanowieniom umowy, są zbyt wysokie i niosą ryzyko zaniżenia kręgu potencjalnych Wykonawców i zawyżenia ceny oferty.</w:t>
            </w:r>
          </w:p>
          <w:p w:rsidR="004A1F11" w:rsidRPr="00A077A0" w:rsidRDefault="004A1F11" w:rsidP="00352B0A">
            <w:pPr>
              <w:spacing w:after="120"/>
              <w:ind w:left="30" w:right="-72"/>
              <w:jc w:val="both"/>
              <w:rPr>
                <w:rFonts w:ascii="Arial Narrow" w:hAnsi="Arial Narrow" w:cs="Arial"/>
                <w:b/>
                <w:sz w:val="22"/>
                <w:szCs w:val="22"/>
              </w:rPr>
            </w:pPr>
            <w:r w:rsidRPr="00A077A0">
              <w:rPr>
                <w:rFonts w:ascii="Arial Narrow" w:hAnsi="Arial Narrow" w:cs="Arial"/>
                <w:b/>
                <w:sz w:val="22"/>
                <w:szCs w:val="22"/>
              </w:rPr>
              <w:t xml:space="preserve">Odpowiedź: Zamawiający podtrzymuje zapisy SWZ.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7.</w:t>
            </w:r>
            <w:r w:rsidRPr="000A2EFD">
              <w:rPr>
                <w:rFonts w:ascii="Arial Narrow" w:hAnsi="Arial Narrow" w:cs="Arial"/>
                <w:sz w:val="22"/>
                <w:szCs w:val="22"/>
              </w:rPr>
              <w:tab/>
              <w:t>Dotyczy SWZ Pkt. 10.1 ust. 2</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Czy Zamawiający odstąpi od wymogu załączenia do oferty instrukcji obsługi oferowanych urządzeń ? Załączenie instrukcji obsługi na etapie składania ofert nie znajduje żadnego uzasadnienia. Wszelkie parametry techniczne - użytkowe będą potwierdzone przez Wykonawców w załączonych do oferty katalogach, folderach czy opisach. Instrukcje obsługi zostaną dostarczone wraz z urządzeniami, stanowiącymi przedmiot zamówienia.</w:t>
            </w:r>
          </w:p>
          <w:p w:rsidR="004A1F11" w:rsidRPr="00A077A0" w:rsidRDefault="004A1F11" w:rsidP="00352B0A">
            <w:pPr>
              <w:spacing w:after="120"/>
              <w:ind w:left="30" w:right="-72"/>
              <w:jc w:val="both"/>
              <w:rPr>
                <w:rFonts w:ascii="Arial Narrow" w:hAnsi="Arial Narrow" w:cs="Arial"/>
                <w:b/>
                <w:sz w:val="22"/>
                <w:szCs w:val="22"/>
              </w:rPr>
            </w:pPr>
            <w:r w:rsidRPr="00A077A0">
              <w:rPr>
                <w:rFonts w:ascii="Arial Narrow" w:hAnsi="Arial Narrow" w:cs="Arial"/>
                <w:b/>
                <w:sz w:val="22"/>
                <w:szCs w:val="22"/>
              </w:rPr>
              <w:t xml:space="preserve">Odpowiedź: Zamawiający podtrzymuje zapisy SWZ.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Dotyczy projektu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Par. 2 ust. 3 - 5</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8.</w:t>
            </w:r>
            <w:r w:rsidRPr="000A2EFD">
              <w:rPr>
                <w:rFonts w:ascii="Arial Narrow" w:hAnsi="Arial Narrow" w:cs="Arial"/>
                <w:sz w:val="22"/>
                <w:szCs w:val="22"/>
              </w:rPr>
              <w:tab/>
              <w:t>Wstrzymanie się z czynnościami odbioru i uznanie umowy za niewykonaną nie powinno mieć zastosowania do każdego przypadku stwierdzonych nieprawidłowości, niemających wpływu na możliwość korzystania z urządzenia. W przypadku drobnych wad/usterek, które nie wpływają na funkcjonowanie sprzętu i możliwość używania go w działalności Zamawiającego, odbiory powinny zostać dokonane, z zastrzeżeniami. Uznanie w takim wypadku umowy za "niewykonaną" w sposób rażąco niesprawiedliwy negatywnie obciąża Wykonawcę, który w takiej sytuacji ponosi ryzyko naliczenia kar umownych. W związku z tym, proponujemy doprecyzowanie w ust. 3 i 4, iż ma zastosowanie wyłącznie w przypadku stwierdzenia istotnych wad i usterek.</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Dodatkowo wskazujemy, iż w przypadku wyrażenia zgody przez komisję odbiorową o pozostawieniu sprzętu w siedzibie Zamawiającego, brak jest podstaw - skoro zgoda została wyrażona - do obciążania Wykonawcy dodatkowymi ryzykami i kosztami, na których nie ma wpływu z uwagi na pozostawienie sprzętu w miejscu, którego dysponentem jest Zamawiający i za który Zamawiający odpowiada. Wobec tego, prosimy o wykreślenie z ust. 4 i 5 fragmentów: "na własny koszt i ryzyko". </w:t>
            </w:r>
          </w:p>
          <w:p w:rsidR="004A1F11" w:rsidRPr="00C65DE9" w:rsidRDefault="004A1F11" w:rsidP="00352B0A">
            <w:pPr>
              <w:spacing w:after="120"/>
              <w:ind w:left="30" w:right="-72"/>
              <w:jc w:val="both"/>
              <w:rPr>
                <w:rFonts w:ascii="Arial Narrow" w:hAnsi="Arial Narrow" w:cs="Arial"/>
                <w:b/>
                <w:sz w:val="22"/>
                <w:szCs w:val="22"/>
              </w:rPr>
            </w:pPr>
            <w:r w:rsidRPr="00C65DE9">
              <w:rPr>
                <w:rFonts w:ascii="Arial Narrow" w:hAnsi="Arial Narrow" w:cs="Arial"/>
                <w:b/>
                <w:sz w:val="22"/>
                <w:szCs w:val="22"/>
              </w:rPr>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9.</w:t>
            </w:r>
            <w:r w:rsidRPr="000A2EFD">
              <w:rPr>
                <w:rFonts w:ascii="Arial Narrow" w:hAnsi="Arial Narrow" w:cs="Arial"/>
                <w:sz w:val="22"/>
                <w:szCs w:val="22"/>
              </w:rPr>
              <w:tab/>
              <w:t>Par. 3 ust. 4</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 xml:space="preserve">Mając na względzie fakt, iż rękojmia jest instytucją niedostosowaną do specyfiki urządzeń medycznych i w związku z tym standardem staje się ograniczanie lub wyłączanie rękojmi w zamian za udzielenie Zamawiającym gwarancji trwającej co najmniej tyle, ile okres rękojmi, na lepszych i dogodniejszych dla Zamawiających warunkach wykonywania uprawnień z gwarancji, Wykonawca proponuje dodanie zdania trzeciego do § 3 ust. 4 i wskazanie, że uprawnienia do odstąpienia  od umowy w ramach realizacji uprawnień z tytułu rękojmi zostaje wyłączone. Wskazujemy, że Zamawiającemu przysługują szerokie uprawnienia gwarancyjne na zasadach określonych umową, gwarantujące zapewnienie Zamawiającego należytej opieki serwisowej w przypadku wystąpienia awarii sprzętu, a wręcz zapewnia naprawę wszelkich usterek i nieprawidłowości w działaniu sprzętu na dogodnych dla Zamawiającego warunkach. Możliwość jednoczesnej realizacji uprawnień z tytułu rękojmi wiąże się z ryzykiem możliwości odstąpienia od umowy przez Zamawiającego, co - szczególnie w przypadku charakteru sprzętu będącego przedmiotem umowy - jawi się jako szczególnie niecelowe. W związku z  tym, w naszej ocenie, zasadne jest wyłączenie prawa do odstąpienia na podstawie rękojmi, które stanowi dodatkowe ryzyko dla Wykonawcy, a </w:t>
            </w:r>
            <w:r w:rsidRPr="000A2EFD">
              <w:rPr>
                <w:rFonts w:ascii="Arial Narrow" w:hAnsi="Arial Narrow" w:cs="Arial"/>
                <w:sz w:val="22"/>
                <w:szCs w:val="22"/>
              </w:rPr>
              <w:lastRenderedPageBreak/>
              <w:t>rezygnacja z którego dla Zamawiającego nie będzie stanowiła istotnego zmniejszenia jego praw wynikających z Umowy. Proponujemy więc dodanie zdania trzeciego do  o następującej treści:</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"Strony zgodnie wyłączają prawo do odstąpienia od umowy w oparciu o przepisy Kodeksu cywilnego dotyczące rękojmi."</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10.</w:t>
            </w:r>
            <w:r w:rsidRPr="000A2EFD">
              <w:rPr>
                <w:rFonts w:ascii="Arial Narrow" w:hAnsi="Arial Narrow" w:cs="Arial"/>
                <w:sz w:val="22"/>
                <w:szCs w:val="22"/>
              </w:rPr>
              <w:tab/>
              <w:t>Par. 3 ust. 4</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Praktyką w przypadku gwarancji udzielanej na urządzenia medyczne jest wyłączanie tych wad i awarii aparatów, które wynikają z nieprawidłowego użycia (niezgodnego z instrukcją lub przeznaczeniem) aparatu przez Zamawiającego lub też spowodowane są okolicznościami o charakterze siły wyższej.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Czy wobec takiego katalogu włączeń z gwarancji, które są standardem dla aparatury medycznej, będącej przedmiotem niniejszego postępowania, Zamawiający wyraża zgodę na dodanie zapisu o następującej treści:</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,,Gwarancją nie są objęte:</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w:t>
            </w:r>
            <w:r w:rsidRPr="000A2EFD">
              <w:rPr>
                <w:rFonts w:ascii="Arial Narrow" w:hAnsi="Arial Narrow" w:cs="Arial"/>
                <w:sz w:val="22"/>
                <w:szCs w:val="22"/>
              </w:rPr>
              <w:tab/>
              <w:t>uszkodzenia i wady dostarczanego sprzętu wynikłe na skutek:</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w:t>
            </w:r>
            <w:r w:rsidRPr="000A2EFD">
              <w:rPr>
                <w:rFonts w:ascii="Arial Narrow" w:hAnsi="Arial Narrow" w:cs="Arial"/>
                <w:sz w:val="22"/>
                <w:szCs w:val="22"/>
              </w:rPr>
              <w:tab/>
              <w:t>eksploatacji przez Zamawiającego niezgodnej z jego przeznaczeniem, niestosowania się Zamawiającego do instrukcji obsługi,</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w:t>
            </w:r>
            <w:r w:rsidRPr="000A2EFD">
              <w:rPr>
                <w:rFonts w:ascii="Arial Narrow" w:hAnsi="Arial Narrow" w:cs="Arial"/>
                <w:sz w:val="22"/>
                <w:szCs w:val="22"/>
              </w:rPr>
              <w:tab/>
              <w:t>samowolnych napraw, przeróbek lub zmian konstrukcyjnych (dokonywanych przez Zamawiającego lub inne nieuprawnione osoby);</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w:t>
            </w:r>
            <w:r w:rsidRPr="000A2EFD">
              <w:rPr>
                <w:rFonts w:ascii="Arial Narrow" w:hAnsi="Arial Narrow" w:cs="Arial"/>
                <w:sz w:val="22"/>
                <w:szCs w:val="22"/>
              </w:rPr>
              <w:tab/>
              <w:t xml:space="preserve">Celowego lub nieumyślnego niewłaściwego użycia lub zaniedbania,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w:t>
            </w:r>
            <w:r w:rsidRPr="000A2EFD">
              <w:rPr>
                <w:rFonts w:ascii="Arial Narrow" w:hAnsi="Arial Narrow" w:cs="Arial"/>
                <w:sz w:val="22"/>
                <w:szCs w:val="22"/>
              </w:rPr>
              <w:tab/>
              <w:t>uszkodzeń mechanicznych, chemicznych lub termicznych, jak również powstałych wskutek zaistnienia siły wyższej, działania władz wojskowych lub cywilnych, pożarów, powodzi, zalania, strajków lub innych zaburzeń w pracy, wojny, buntów, i innych powodów poza racjonalną kontrolą Wykonawcy</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Zgodnie z projektem umowy.</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11.</w:t>
            </w:r>
            <w:r w:rsidRPr="000A2EFD">
              <w:rPr>
                <w:rFonts w:ascii="Arial Narrow" w:hAnsi="Arial Narrow" w:cs="Arial"/>
                <w:sz w:val="22"/>
                <w:szCs w:val="22"/>
              </w:rPr>
              <w:tab/>
              <w:t xml:space="preserve">Par. 8 Ust. 1 pkt. 1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W naszej opinii zaproponowana kara umowna jest wysoka. Przyjęło się, że na rynku wyrobów medycznych wynosi ona ok. 0,1-0,2% za każdy dzień zwłoki.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Zadaniem kar umownych winno być skuteczne zmotywowanie i skłonienie kontrahenta do prawidłowego wykonania umowy, a nie zniechęcanie do udziału w zamówieniach publicznych.</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W związku z tym proponujemy, aby obniżyć karę umowną do przyjętego w branży poziomu.</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Zgodnie z projektem umowy.</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12.</w:t>
            </w:r>
            <w:r w:rsidRPr="000A2EFD">
              <w:rPr>
                <w:rFonts w:ascii="Arial Narrow" w:hAnsi="Arial Narrow" w:cs="Arial"/>
                <w:sz w:val="22"/>
                <w:szCs w:val="22"/>
              </w:rPr>
              <w:tab/>
              <w:t xml:space="preserve">Par. 8 Ust. 1 pkt. 2 W naszej opinii zaproponowana kara umowna jest wysoka. Przyjęło się, że na rynku wyrobów medycznych wynosi ona ok. 0,1-0,2% za każdy dzień zwłoki.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Zadaniem kar umownych winno być skuteczne zmotywowanie i skłonienie kontrahenta do prawidłowego wykonania umowy, a nie zniechęcanie do udziału w zamówieniach publicznych.</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lastRenderedPageBreak/>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W związku z tym proponujemy, aby obniżyć karę umowną do przyjętego w branży poziomu.</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Zgodnie z projektem umowy.</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13.</w:t>
            </w:r>
            <w:r w:rsidRPr="000A2EFD">
              <w:rPr>
                <w:rFonts w:ascii="Arial Narrow" w:hAnsi="Arial Narrow" w:cs="Arial"/>
                <w:sz w:val="22"/>
                <w:szCs w:val="22"/>
              </w:rPr>
              <w:tab/>
              <w:t xml:space="preserve">Par. 8 Ust. 1 pkt. 3 W naszej opinii zaproponowana kara umowna jest wysoka. Przyjęło się, że na rynku wyrobów medycznych wynosi ona ok. 0,1-0,2% za każdy dzień zwłoki.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Zadaniem kar umownych winno być skuteczne zmotywowanie i skłonienie kontrahenta do prawidłowego wykonania umowy, a nie zniechęcanie do udziału w zamówieniach publicznych.</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W związku z tym proponujemy, aby obniżyć karę umowną do przyjętego w branży poziomu.</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Zgodnie z projektem umowy.</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14.</w:t>
            </w:r>
            <w:r w:rsidRPr="000A2EFD">
              <w:rPr>
                <w:rFonts w:ascii="Arial Narrow" w:hAnsi="Arial Narrow" w:cs="Arial"/>
                <w:sz w:val="22"/>
                <w:szCs w:val="22"/>
              </w:rPr>
              <w:tab/>
              <w:t xml:space="preserve">Par. 8 Ust. 1 pkt. 4 W naszej opinii zaproponowana kara umowna jest wysoka. Przyjęło się, że na rynku wyrobów medycznych wynosi ona ok. 0,1-0,2% za każdy dzień zwłoki.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Zadaniem kar umownych winno być skuteczne zmotywowanie i skłonienie kontrahenta do prawidłowego wykonania umowy, a nie zniechęcanie do udziału w zamówieniach publicznych.</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 xml:space="preserve">Kary umowne stanowią najistotniejsze ryzyko związane z realizacją kontraktu, często okazują się nadmiernie wygórowane w stosunku do naruszenia stanowiącego podstawę do ich naliczenia, a to powoduje spadek jakości wykonanych usług, bowiem przerzuca ciężar uwagi Wykonawcy z prawidłowego  i terminowego realizowania przedmiotu umowy na dbanie o niedopuszczenie do sytuacji, w której Zamawiający uzyska uprawnienie do naliczenia często bardzo wysokiej kary. Z kolei w wyroku z 25.06.2010 r.(sygn. akt: KIO 1123/10) Izba wskazała, iż kara umowna nie może być traktowana jako ubezpieczenie Zamawiającego. Kary umowne muszą być proporcjonalne do ceny umowy, a nie do ewentualnych strat Zamawiającego, gdyż do tego służą instytucje odszkodowań. Co więcej, ustalenie wysokości kary umownej powyżej pułapu, którego wysokość byłaby uzasadniona wagą naruszenia obowiązków Wykonawcy jest bezprzedmiotowe, gdyż nie spowoduje dodatkowej motywacji u Wykonawcy. Kara umowna ustalona zbyt wysoko przestaje spełniać funkcję stymulacyjną (motywującą dłużnika do prawidłowego wykonania zobowiązania), a staje się źródłem nadmiernej represji wobec Wykonawcy.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W związku z tym proponujemy, aby obniżyć karę umowną do przyjętego w branży poziomu.</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lastRenderedPageBreak/>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15.</w:t>
            </w:r>
            <w:r w:rsidRPr="000A2EFD">
              <w:rPr>
                <w:rFonts w:ascii="Arial Narrow" w:hAnsi="Arial Narrow" w:cs="Arial"/>
                <w:sz w:val="22"/>
                <w:szCs w:val="22"/>
              </w:rPr>
              <w:tab/>
              <w:t>Par. 8 Ust. 1 pkt. 3 i 4  Prosimy o doprecyzowanie postanowienia dotyczącego kary umownej określonego w §8 ust. 1 pkt. 3 i 4  poprzez wprowadzenie mechanizmu uprzedniego (przed naliczeniem kary) wezwania wykonawcy do przystąpienia do realizacji naprawy gwarancyjnej / przeglądu , wyznaczając mu dodatkowy termin, nie krótszy niż 3 dni robocze.</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16.</w:t>
            </w:r>
            <w:r w:rsidRPr="000A2EFD">
              <w:rPr>
                <w:rFonts w:ascii="Arial Narrow" w:hAnsi="Arial Narrow" w:cs="Arial"/>
                <w:sz w:val="22"/>
                <w:szCs w:val="22"/>
              </w:rPr>
              <w:tab/>
              <w:t xml:space="preserve">Par. 8 Ust. 1 pkt. 1 - 4 Czy Zamawiający wyrazi zgodę na naliczanie kar od wartości brutto DANEGO URZĄDZENIA, którego dotyczy zwłoka (a nie od wartości umowy)? Jeśli dostawa przedmiotu umowy będzie w zdecydowanej mierze zrealizowana, to naliczanie kary umownej od całkowitej wartości umowy, będzie miało charakter rażąco zawyżony. Analogicznie, w przypadku nieterminowej realizacji napraw lub braku realizacji przeglądu w zakresie wyłącznie jednego sprzętu objętego umową, kara umowna winna być naliczana od wartości tego konkretnego sprzętu jako że w zakresie tego sprzętu ma zrekompensować poniesioną szkodę. Naliczenie kary umownej od całości przedmiotu umowy sugerowałoby, iż np. przekroczony termin naprawy jednego ze sprzętów niesie ze sobą szkodę dla pozostałych aparatów objętych umową, co jest oczywiście niezasadne i stoi w sprzeczności z odszkodowawczym charakterem kary umownej.   </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Zamawiający wyraża zgodę.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17.</w:t>
            </w:r>
            <w:r w:rsidRPr="000A2EFD">
              <w:rPr>
                <w:rFonts w:ascii="Arial Narrow" w:hAnsi="Arial Narrow" w:cs="Arial"/>
                <w:sz w:val="22"/>
                <w:szCs w:val="22"/>
              </w:rPr>
              <w:tab/>
              <w:t>Par. 8 Ust. 3 Odstąpienie od umowy jest rozwiązaniem radykalnym i niekorzystnym dla obu stron umowy, w tym również Zamawiającego. Wobec tego Wykonawca proponuje wprowadzenie obowiązku pisemnego wezwania Wykonawcy do realizacji obowiązków w wyznaczonym terminie, przez dodanie zapisu:</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,,Przed odstąpieniem od umowy Zamawiający wezwie Wykonawcę do usunięcia naruszenia pod rygorem odstąpienia od umowy, wyznaczając mu dodatkowy, min. 7 dniowy termin".</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 xml:space="preserve">Taka konstrukcja chroni  interes Zamawiającego. </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18.</w:t>
            </w:r>
            <w:r w:rsidRPr="000A2EFD">
              <w:rPr>
                <w:rFonts w:ascii="Arial Narrow" w:hAnsi="Arial Narrow" w:cs="Arial"/>
                <w:sz w:val="22"/>
                <w:szCs w:val="22"/>
              </w:rPr>
              <w:tab/>
              <w:t xml:space="preserve">Par. 8 Ust. 7: Wnosimy o obniżenie limitu kar do 10% wartości brutto umowy. Jakkolwiek zasadne jest zabezpieczenie interesów Zamawiającego oraz należytego wykonania zamówienia to uregulowania dotyczące kar umownych nie mogą prowadzić do nieuzasadnionego wzbogacenia po stronie Zamawiającego oraz naruszenia zasady proporcjonalności. </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Par. 8 Ust. 6</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19.</w:t>
            </w:r>
            <w:r w:rsidRPr="000A2EFD">
              <w:rPr>
                <w:rFonts w:ascii="Arial Narrow" w:hAnsi="Arial Narrow" w:cs="Arial"/>
                <w:sz w:val="22"/>
                <w:szCs w:val="22"/>
              </w:rPr>
              <w:tab/>
              <w:t>W przypadku opóźnień w wykonaniu przeglądów przez Wykonawcę, zasadnym wydaje się w pierwszej kolejności wezwanie Wykonawcy do wykonania przeglądu a dopiero po odmowie wykonania zastosowanie wykonania zastępczego, zwłaszcza, że Zamawiający opóźnienie w usunięciu wad łączy dodatkowo z karą umowną. Takie postanowienie może prowadzić do powstania nieuzasadnionych korzyści po stronie Zamawiającego i narusza równowagę stron. Proponujemy w związku z tym następującą zmianę par. 8 ust. 6:</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b/>
              <w:t>W  przypadku niewykonania przeglądu technicznego po upływie 10 dni kalendarzowych od wymaganej daty jego wykonania, Zamawiający pisemnie wezwie Wykonawcę do wykonania przeglądu wyznaczając mu dodatkowy termin, nie krótszy niż 3 dni robocze. W przypadku ponownego niewykonania przeglądu technicznego Zamawiający zastrzega sobie możliwość zlecenia przeglądu innemu podmiotowi, posiadającemu autoryzację producenta  i obciążenie kosztami Wykonawcy.</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20.</w:t>
            </w:r>
            <w:r w:rsidRPr="000A2EFD">
              <w:rPr>
                <w:rFonts w:ascii="Arial Narrow" w:hAnsi="Arial Narrow" w:cs="Arial"/>
                <w:sz w:val="22"/>
                <w:szCs w:val="22"/>
              </w:rPr>
              <w:tab/>
              <w:t xml:space="preserve">W związku z aktualną sytuacją związaną z rozprzestrzenianiem się zakażenia wirusem SARS-CoV-2, wskutek czego na podstawie §1 Rozporządzenia Ministra Zdrowia z dnia 20 marca 2020 r. w sprawie ogłoszenia na obszarze Rzeczypospolitej Polskiej stanu epidemii (Dz.U. z 2020 r. poz. 491), na terenie Polski został wprowadzony stan epidemii, wymagający zastosowania się do licznych ograniczeń wprowadzonych w/w Rozporządzeniem oraz wobec trudnego do przewidzenia dalszego rozwoju epidemii zarówno w Polsce, jak i w Europie i na całym świecie, który może mieć istotny wpływ na realizację Umowy zawartej w wyniku niniejszego postępowania, zwracamy się z prośbą o modyfikację treści klauzuli o sile wyższej (rozumianej m.in. jako stan epidemii). Propozycja modyfikacji tej klauzuli zakłada współpracę Stron w przypadku zaistnienia okoliczności </w:t>
            </w:r>
            <w:r w:rsidRPr="000A2EFD">
              <w:rPr>
                <w:rFonts w:ascii="Arial Narrow" w:hAnsi="Arial Narrow" w:cs="Arial"/>
                <w:sz w:val="22"/>
                <w:szCs w:val="22"/>
              </w:rPr>
              <w:lastRenderedPageBreak/>
              <w:t>utrudniających realizację umowy, a związanych z siłą wyższą (szczególnie epidemią). Rozwiązanie to pozwoli na bieżącą reakcję Stron w przypadku utrudnień z realizacją kontraktu ze względu na dynamicznie rozwijającą się sytuację z COVID-19 oraz wspólne ustalenie dalszych działań w dobrej wierze tak, aby interesy obu stron były realizowane pomimo utrudnień wynikających z siły wyższej (w szczególności wynikającej z epidemii COVID-19). Tym samym zapewniona będzie realizacja interesów obu stron - tak Zamawiającego, jak i Wykonawcy - przy jednoczesnej konieczności dostosowania realizacji kontraktu do dynamicznie rozwijającej się sytuacji związanej z COVID-19 i restrykcjami wprowadzanymi przez rząd i inne organy władzy. Wobec tego, proponujemy dodatnie Paragrafu o treści:</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1.Żadna ze Stron nie będzie odpowiedzialna za niewykonanie lub nienależyte wykonanie zobowiązań wynikających z Umowy, spowodowanych siłą wyższą, tj. przez okoliczności nadzwyczajne, nieprzewidywalne, lub też niemożliwe do uniknięcia mimo możliwości ich przewidzenia, w szczególności: klęski żywiołowe, katastrofy, strajki, zamieszki, embarga, stany zagrożenia epidemicznego, stany epidemii, stany nadzwyczajne, w tym stany klęski żywiołowej, decyzje, zarządzenia organów państwa itp.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 xml:space="preserve">2.Terminy wykonania zobowiązań wynikających z Umowy, w tym czasu reakcji, ulegają przedłużeniu o czas trwania siły wyższej.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3.W przypadku zaistnienia zdarzenia siły wyższej, Strona, która na skutek siły wyższej nie może należycie wykonać zobowiązań wynikających z Umowy, zawiadomi niezwłocznie drugą Stronę o zaistnieniu siły wyższej, jednocześnie określając jej wpływ na wykonanie zobowiązań. Po zawiadomieniu, Strony będą współdziałać w dobrej wierze w celu wywiązania się ze zobowiązań w stopniu, w jakim jest to praktycznie możliwe oraz będzie poszukiwać wszelkich sensownych alternatywnych środków działania, możliwych mimo zaistnienia okoliczności siły wyższej.</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Zgodnie z projektem umowy.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Dotyczy: załącznika ,,specyfikacja techniczna"</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21.</w:t>
            </w:r>
            <w:r w:rsidRPr="000A2EFD">
              <w:rPr>
                <w:rFonts w:ascii="Arial Narrow" w:hAnsi="Arial Narrow" w:cs="Arial"/>
                <w:sz w:val="22"/>
                <w:szCs w:val="22"/>
              </w:rPr>
              <w:tab/>
              <w:t>Pkt 3 Czy Zamawiający dopuści aparat przystosowany do pracy przy ciśnieniu sieci centralnej dla: O2, N2O, Powietrza od 280 kPa do 600kPa ?</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Zamawiający dopuszcza.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22.</w:t>
            </w:r>
            <w:r w:rsidRPr="000A2EFD">
              <w:rPr>
                <w:rFonts w:ascii="Arial Narrow" w:hAnsi="Arial Narrow" w:cs="Arial"/>
                <w:sz w:val="22"/>
                <w:szCs w:val="22"/>
              </w:rPr>
              <w:tab/>
              <w:t xml:space="preserve">Pkt 5 Czy Zamawiający uzna za spełnienie awaryjne zasilanie elektryczne całego systemu z wbudowanego akumulatora w warunkach standardowych na 90 minut, a w warunkach ekstremalnych na 30 minut? </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Zamawiający dopuszcza.</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23.</w:t>
            </w:r>
            <w:r w:rsidRPr="000A2EFD">
              <w:rPr>
                <w:rFonts w:ascii="Arial Narrow" w:hAnsi="Arial Narrow" w:cs="Arial"/>
                <w:sz w:val="22"/>
                <w:szCs w:val="22"/>
              </w:rPr>
              <w:tab/>
              <w:t>Pkt 7 Czy Zamawiający dopuści dwie szuflady na akcesoria, w tym jedna z trwałym zamknięciem na klucz, o wymiarach wewnętrznych: wysokość 8,6 cm, szerokość: 34 cm, głębokość: 37 cm?</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Zamawiający dopuszcza.</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24.</w:t>
            </w:r>
            <w:r w:rsidRPr="000A2EFD">
              <w:rPr>
                <w:rFonts w:ascii="Arial Narrow" w:hAnsi="Arial Narrow" w:cs="Arial"/>
                <w:sz w:val="22"/>
                <w:szCs w:val="22"/>
              </w:rPr>
              <w:tab/>
              <w:t>Pkt 136 Czy Zamawiający dopuści monitor z możliwością wyboru nazw: ART., CVP, ICP, Fem, UAC, UVC, FemV, PA, RAP, RVP, LAP i generycznych nazw ciśnienia od P1 do P8 - w zależności od numeru kanału?</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Zamawiający dopuszcza.</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25.</w:t>
            </w:r>
            <w:r w:rsidRPr="000A2EFD">
              <w:rPr>
                <w:rFonts w:ascii="Arial Narrow" w:hAnsi="Arial Narrow" w:cs="Arial"/>
                <w:sz w:val="22"/>
                <w:szCs w:val="22"/>
              </w:rPr>
              <w:tab/>
              <w:t>Pkt 148 Czy Zamawiający dopuści kardiomonitor wyposażony w moduł pomiarowy zwiotczenia mięśni realizujący pomiar uznawaną za złoty standard metodą elektromiografii (EMG) z wykorzystaniem czujnika - elektrosensora - który nie wymaga detekcji ruchu mięśni na skutek stymulacji nerwu prądem, nie potrzebuje swobodnego dostępu do badanej kończyny, jest odporny na przypadkowy ruch wywołany działaniem operatora i umożliwia rozbudowę o funkcję detekcji nerwów do zabiegów prowadzonych w blokadzie regionalnej, umożliwia stymulację: ST, DBS, Tetanus z obliczaniem PTC, TOF i TOF Auto, z prezentacją wartości TOF% i T1%?</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Zamawiający dopuszcza.</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26.</w:t>
            </w:r>
            <w:r w:rsidRPr="000A2EFD">
              <w:rPr>
                <w:rFonts w:ascii="Arial Narrow" w:hAnsi="Arial Narrow" w:cs="Arial"/>
                <w:sz w:val="22"/>
                <w:szCs w:val="22"/>
              </w:rPr>
              <w:tab/>
              <w:t>Pkt 158 Czy Zamawiający dopuści dostarczenie 3 wielorazowych mankietów pomiarowych w rozmiarach: mały dorosły, dorosły, duży dorosły oraz mankietu dla pacjentów otyłych?</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Zamawiający dopuszcza.</w:t>
            </w:r>
          </w:p>
          <w:p w:rsidR="004A1F11" w:rsidRPr="000A2EFD" w:rsidRDefault="004A1F11" w:rsidP="00352B0A">
            <w:pPr>
              <w:spacing w:after="60"/>
              <w:ind w:left="30" w:right="-72"/>
              <w:jc w:val="both"/>
              <w:rPr>
                <w:rFonts w:ascii="Arial Narrow" w:hAnsi="Arial Narrow" w:cs="Arial"/>
                <w:sz w:val="22"/>
                <w:szCs w:val="22"/>
                <w:highlight w:val="darkGray"/>
              </w:rPr>
            </w:pPr>
          </w:p>
        </w:tc>
      </w:tr>
      <w:tr w:rsidR="004A1F11" w:rsidRPr="000A2EFD" w:rsidTr="00352B0A">
        <w:tc>
          <w:tcPr>
            <w:tcW w:w="9356" w:type="dxa"/>
            <w:shd w:val="clear" w:color="auto" w:fill="auto"/>
          </w:tcPr>
          <w:p w:rsidR="004A1F11" w:rsidRPr="00637679" w:rsidRDefault="004A1F11" w:rsidP="00352B0A">
            <w:pPr>
              <w:spacing w:after="120"/>
              <w:ind w:left="30" w:right="-72"/>
              <w:jc w:val="both"/>
              <w:rPr>
                <w:rFonts w:ascii="Arial Narrow" w:hAnsi="Arial Narrow" w:cs="Arial"/>
                <w:b/>
                <w:sz w:val="22"/>
                <w:szCs w:val="22"/>
                <w:u w:val="single"/>
              </w:rPr>
            </w:pPr>
            <w:r w:rsidRPr="00637679">
              <w:rPr>
                <w:rFonts w:ascii="Arial Narrow" w:hAnsi="Arial Narrow" w:cs="Arial"/>
                <w:b/>
                <w:sz w:val="22"/>
                <w:szCs w:val="22"/>
                <w:u w:val="single"/>
              </w:rPr>
              <w:lastRenderedPageBreak/>
              <w:t>PYTANIE NR 3:</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Dot. Zał. nr 7 - Specyfikacja techniczna. Aparat do znieczulenia z monitorowaniem.</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Ad. 153</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Czy Zamawiający dopuści stanowisko do znieczulenia bez pomiaru głębokości uśpienia?</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Zamawiający podtrzymuje zapisy SWZ.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Ad. 154</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Czy Zamawiający dopuści stanowisko do znieczulenia bez pomiaru głębokości analgezji? Opisana metoda wskazuje tylko na jednego oferenta i uniemożliwia złożenie konkurencyjnej oferty.</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 xml:space="preserve">Odpowiedź: Zamawiający podtrzymuje zapisy SWZ. </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Załącznik nr 8 - Wzór umowy</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§8 ust. 1, 2, 3 oraz 4</w:t>
            </w:r>
          </w:p>
          <w:p w:rsidR="004A1F11" w:rsidRPr="000A2EFD" w:rsidRDefault="004A1F11" w:rsidP="00352B0A">
            <w:pPr>
              <w:spacing w:after="120"/>
              <w:ind w:left="30" w:right="-72"/>
              <w:jc w:val="both"/>
              <w:rPr>
                <w:rFonts w:ascii="Arial Narrow" w:hAnsi="Arial Narrow" w:cs="Arial"/>
                <w:sz w:val="22"/>
                <w:szCs w:val="22"/>
              </w:rPr>
            </w:pPr>
            <w:r w:rsidRPr="000A2EFD">
              <w:rPr>
                <w:rFonts w:ascii="Arial Narrow" w:hAnsi="Arial Narrow" w:cs="Arial"/>
                <w:sz w:val="22"/>
                <w:szCs w:val="22"/>
              </w:rPr>
              <w:t>Czy Zamawiający wyrazi zgodę na zmniejszenie wysokości kar umownych z 0,5% do 0,2%?</w:t>
            </w:r>
          </w:p>
          <w:p w:rsidR="004A1F11" w:rsidRPr="00637679" w:rsidRDefault="004A1F11" w:rsidP="00352B0A">
            <w:pPr>
              <w:spacing w:after="120"/>
              <w:ind w:left="30" w:right="-72"/>
              <w:jc w:val="both"/>
              <w:rPr>
                <w:rFonts w:ascii="Arial Narrow" w:hAnsi="Arial Narrow" w:cs="Arial"/>
                <w:b/>
                <w:sz w:val="22"/>
                <w:szCs w:val="22"/>
              </w:rPr>
            </w:pPr>
            <w:r w:rsidRPr="00637679">
              <w:rPr>
                <w:rFonts w:ascii="Arial Narrow" w:hAnsi="Arial Narrow" w:cs="Arial"/>
                <w:b/>
                <w:sz w:val="22"/>
                <w:szCs w:val="22"/>
              </w:rPr>
              <w:t>Odpowiedź: Zgodnie z projektem umowy.</w:t>
            </w:r>
          </w:p>
          <w:p w:rsidR="004A1F11" w:rsidRPr="000A2EFD" w:rsidRDefault="004A1F11" w:rsidP="00352B0A">
            <w:pPr>
              <w:spacing w:after="60"/>
              <w:ind w:left="30" w:right="-72"/>
              <w:jc w:val="both"/>
              <w:rPr>
                <w:rFonts w:ascii="Arial Narrow" w:hAnsi="Arial Narrow" w:cs="Arial"/>
                <w:sz w:val="22"/>
                <w:szCs w:val="22"/>
                <w:highlight w:val="darkGray"/>
              </w:rPr>
            </w:pPr>
          </w:p>
        </w:tc>
      </w:tr>
    </w:tbl>
    <w:p w:rsidR="00BE7BFD" w:rsidRDefault="004130D5" w:rsidP="00520165">
      <w:pPr>
        <w:jc w:val="both"/>
        <w:rPr>
          <w:rFonts w:ascii="Arial Narrow" w:hAnsi="Arial Narrow" w:cs="Arial"/>
          <w:b/>
          <w:sz w:val="22"/>
          <w:szCs w:val="22"/>
          <w:u w:val="single"/>
        </w:rPr>
      </w:pPr>
      <w:r w:rsidRPr="004130D5">
        <w:rPr>
          <w:rFonts w:ascii="Arial Narrow" w:hAnsi="Arial Narrow" w:cs="Arial"/>
          <w:b/>
          <w:sz w:val="22"/>
          <w:szCs w:val="22"/>
          <w:u w:val="single"/>
        </w:rPr>
        <w:t>PYTANIE NR 3:</w:t>
      </w:r>
    </w:p>
    <w:p w:rsidR="00C03A74" w:rsidRDefault="00C03A74" w:rsidP="00520165">
      <w:pPr>
        <w:jc w:val="both"/>
        <w:rPr>
          <w:rFonts w:ascii="Arial Narrow" w:hAnsi="Arial Narrow" w:cs="Arial"/>
          <w:b/>
          <w:sz w:val="22"/>
          <w:szCs w:val="22"/>
          <w:u w:val="single"/>
        </w:rPr>
      </w:pPr>
    </w:p>
    <w:p w:rsidR="00C03A74" w:rsidRPr="00C03A74" w:rsidRDefault="00C03A74" w:rsidP="00520165">
      <w:pPr>
        <w:jc w:val="both"/>
        <w:rPr>
          <w:rFonts w:ascii="Arial Narrow" w:hAnsi="Arial Narrow" w:cs="Arial"/>
          <w:b/>
          <w:sz w:val="24"/>
          <w:szCs w:val="22"/>
          <w:u w:val="single"/>
        </w:rPr>
      </w:pPr>
    </w:p>
    <w:p w:rsidR="00C03A74" w:rsidRPr="00C03A74" w:rsidRDefault="00C03A74" w:rsidP="00C03A74">
      <w:pPr>
        <w:widowControl w:val="0"/>
        <w:suppressAutoHyphens/>
        <w:autoSpaceDN w:val="0"/>
        <w:rPr>
          <w:rFonts w:ascii="Arial Narrow" w:eastAsia="SimSun" w:hAnsi="Arial Narrow" w:cs="Arial"/>
          <w:kern w:val="3"/>
          <w:sz w:val="22"/>
          <w:lang w:eastAsia="zh-CN"/>
        </w:rPr>
      </w:pPr>
      <w:r w:rsidRPr="00C03A74">
        <w:rPr>
          <w:rFonts w:ascii="Arial Narrow" w:eastAsia="SimSun" w:hAnsi="Arial Narrow" w:cs="Arial"/>
          <w:kern w:val="3"/>
          <w:sz w:val="22"/>
          <w:lang w:eastAsia="zh-CN"/>
        </w:rPr>
        <w:t>Pytanie: Czy Zamawiający na zasadzie równoważności dopuści do przetargu aparat do znieczulania o następujących parametrach technicznych?</w:t>
      </w:r>
    </w:p>
    <w:p w:rsidR="00C03A74" w:rsidRP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pPr>
    </w:p>
    <w:p w:rsidR="00C03A74" w:rsidRDefault="00C03A74" w:rsidP="00C03A74">
      <w:pPr>
        <w:widowControl w:val="0"/>
        <w:suppressAutoHyphens/>
        <w:autoSpaceDN w:val="0"/>
        <w:rPr>
          <w:rFonts w:ascii="Arial Narrow" w:eastAsia="SimSun" w:hAnsi="Arial Narrow" w:cs="Arial"/>
          <w:kern w:val="3"/>
          <w:sz w:val="22"/>
          <w:lang w:eastAsia="zh-CN"/>
        </w:rPr>
        <w:sectPr w:rsidR="00C03A74"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pPr>
    </w:p>
    <w:p w:rsidR="00C03A74" w:rsidRPr="00C03A74" w:rsidRDefault="00C03A74" w:rsidP="00C03A74">
      <w:pPr>
        <w:widowControl w:val="0"/>
        <w:suppressAutoHyphens/>
        <w:autoSpaceDN w:val="0"/>
        <w:rPr>
          <w:rFonts w:ascii="Arial Narrow" w:eastAsia="SimSun" w:hAnsi="Arial Narrow" w:cs="Arial"/>
          <w:kern w:val="3"/>
          <w:sz w:val="22"/>
          <w:lang w:eastAsia="zh-CN"/>
        </w:rPr>
      </w:pPr>
      <w:r w:rsidRPr="00C03A74">
        <w:rPr>
          <w:rFonts w:ascii="Arial Narrow" w:eastAsia="SimSun" w:hAnsi="Arial Narrow" w:cs="Arial"/>
          <w:kern w:val="3"/>
          <w:sz w:val="22"/>
          <w:lang w:eastAsia="zh-CN"/>
        </w:rPr>
        <w:lastRenderedPageBreak/>
        <w:t>Parametry techniczne</w:t>
      </w:r>
    </w:p>
    <w:tbl>
      <w:tblPr>
        <w:tblW w:w="5464" w:type="pct"/>
        <w:jc w:val="center"/>
        <w:tblCellMar>
          <w:left w:w="10" w:type="dxa"/>
          <w:right w:w="10" w:type="dxa"/>
        </w:tblCellMar>
        <w:tblLook w:val="04A0" w:firstRow="1" w:lastRow="0" w:firstColumn="1" w:lastColumn="0" w:noHBand="0" w:noVBand="1"/>
      </w:tblPr>
      <w:tblGrid>
        <w:gridCol w:w="491"/>
        <w:gridCol w:w="11961"/>
        <w:gridCol w:w="1246"/>
        <w:gridCol w:w="1756"/>
      </w:tblGrid>
      <w:tr w:rsidR="00C03A74" w:rsidRPr="00C03A74" w:rsidTr="00C03A74">
        <w:trPr>
          <w:cantSplit/>
          <w:trHeight w:val="144"/>
          <w:jc w:val="center"/>
        </w:trPr>
        <w:tc>
          <w:tcPr>
            <w:tcW w:w="159"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C03A74" w:rsidRPr="00C03A74" w:rsidRDefault="00C03A74" w:rsidP="00C03A74">
            <w:pPr>
              <w:widowControl w:val="0"/>
              <w:suppressAutoHyphens/>
              <w:autoSpaceDN w:val="0"/>
              <w:jc w:val="center"/>
              <w:rPr>
                <w:rFonts w:ascii="Arial Narrow" w:eastAsia="SimSun" w:hAnsi="Arial Narrow" w:cs="Mangal"/>
                <w:b/>
                <w:kern w:val="3"/>
                <w:lang w:eastAsia="zh-CN"/>
              </w:rPr>
            </w:pPr>
          </w:p>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b/>
                <w:kern w:val="3"/>
                <w:lang w:eastAsia="zh-CN"/>
              </w:rPr>
              <w:t>Lp.</w:t>
            </w:r>
          </w:p>
        </w:tc>
        <w:tc>
          <w:tcPr>
            <w:tcW w:w="3870"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C03A74" w:rsidRPr="00C03A74" w:rsidRDefault="00C03A74" w:rsidP="00C03A74">
            <w:pPr>
              <w:widowControl w:val="0"/>
              <w:suppressAutoHyphens/>
              <w:autoSpaceDN w:val="0"/>
              <w:jc w:val="center"/>
              <w:rPr>
                <w:rFonts w:ascii="Arial Narrow" w:eastAsia="SimSun" w:hAnsi="Arial Narrow" w:cs="Mangal"/>
                <w:b/>
                <w:kern w:val="3"/>
                <w:lang w:eastAsia="zh-CN"/>
              </w:rPr>
            </w:pPr>
          </w:p>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b/>
                <w:kern w:val="3"/>
                <w:lang w:eastAsia="zh-CN"/>
              </w:rPr>
              <w:t>Wymagania techniczne</w:t>
            </w:r>
          </w:p>
        </w:tc>
        <w:tc>
          <w:tcPr>
            <w:tcW w:w="403" w:type="pct"/>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Arial"/>
                <w:b/>
                <w:kern w:val="3"/>
                <w:lang w:eastAsia="zh-CN"/>
              </w:rPr>
              <w:t>Wartość wymagana</w:t>
            </w:r>
          </w:p>
        </w:tc>
        <w:tc>
          <w:tcPr>
            <w:tcW w:w="568" w:type="pct"/>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rsidR="00C03A74" w:rsidRPr="00C03A74" w:rsidRDefault="00C03A74" w:rsidP="00C03A74">
            <w:pPr>
              <w:widowControl w:val="0"/>
              <w:suppressAutoHyphens/>
              <w:autoSpaceDN w:val="0"/>
              <w:ind w:left="116" w:hanging="116"/>
              <w:jc w:val="center"/>
              <w:rPr>
                <w:rFonts w:ascii="Arial Narrow" w:eastAsia="SimSun" w:hAnsi="Arial Narrow" w:cs="Mangal"/>
                <w:kern w:val="3"/>
                <w:lang w:eastAsia="zh-CN"/>
              </w:rPr>
            </w:pPr>
            <w:r w:rsidRPr="00C03A74">
              <w:rPr>
                <w:rFonts w:ascii="Arial Narrow" w:eastAsia="SimSun" w:hAnsi="Arial Narrow" w:cs="Arial"/>
                <w:b/>
                <w:kern w:val="3"/>
                <w:lang w:eastAsia="zh-CN"/>
              </w:rPr>
              <w:t>Wartość Oferowana / podać</w:t>
            </w:r>
            <w:r w:rsidRPr="00C03A74">
              <w:rPr>
                <w:rFonts w:ascii="Arial Narrow" w:eastAsia="SimSun" w:hAnsi="Arial Narrow" w:cs="Arial"/>
                <w:bCs/>
                <w:kern w:val="3"/>
                <w:lang w:eastAsia="zh-CN"/>
              </w:rPr>
              <w:t xml:space="preserve"> </w:t>
            </w:r>
            <w:r w:rsidRPr="00C03A74">
              <w:rPr>
                <w:rFonts w:ascii="Arial Narrow" w:eastAsia="SimSun" w:hAnsi="Arial Narrow" w:cs="Arial"/>
                <w:b/>
                <w:bCs/>
                <w:kern w:val="3"/>
                <w:lang w:eastAsia="zh-CN"/>
              </w:rPr>
              <w:t>zakresy</w:t>
            </w:r>
            <w:r w:rsidRPr="00C03A74">
              <w:rPr>
                <w:rFonts w:ascii="Arial Narrow" w:eastAsia="SimSun" w:hAnsi="Arial Narrow" w:cs="Mangal"/>
                <w:kern w:val="3"/>
                <w:lang w:eastAsia="zh-CN"/>
              </w:rPr>
              <w:t xml:space="preserve">/ </w:t>
            </w:r>
            <w:r w:rsidRPr="00C03A74">
              <w:rPr>
                <w:rFonts w:ascii="Arial Narrow" w:eastAsia="SimSun" w:hAnsi="Arial Narrow" w:cs="Arial"/>
                <w:b/>
                <w:bCs/>
                <w:kern w:val="3"/>
                <w:lang w:eastAsia="zh-CN"/>
              </w:rPr>
              <w:t>opisać/ wskazać numer strony w ofercie z potwierdzeniem parametru</w:t>
            </w:r>
          </w:p>
        </w:tc>
      </w:tr>
      <w:tr w:rsidR="00C03A74" w:rsidRPr="00C03A74" w:rsidTr="00C03A74">
        <w:trPr>
          <w:cantSplit/>
          <w:trHeight w:val="285"/>
          <w:jc w:val="center"/>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b/>
                <w:kern w:val="3"/>
                <w:lang w:eastAsia="zh-CN"/>
              </w:rPr>
            </w:pPr>
            <w:r w:rsidRPr="00C03A74">
              <w:rPr>
                <w:rFonts w:ascii="Arial Narrow" w:eastAsia="SimSun" w:hAnsi="Arial Narrow" w:cs="Mangal"/>
                <w:b/>
                <w:kern w:val="3"/>
                <w:lang w:eastAsia="zh-CN"/>
              </w:rPr>
              <w:t>Parametry ogólne</w:t>
            </w:r>
          </w:p>
        </w:tc>
      </w:tr>
      <w:tr w:rsidR="00C03A74" w:rsidRPr="00C03A74" w:rsidTr="00C03A74">
        <w:trPr>
          <w:cantSplit/>
          <w:trHeight w:val="612"/>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8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Aparat przystosowany do zawieszenia na sufitowej jednostce zasilającej TRUMPF, klinoPORT posiadanej przez Zamawiającego.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color w:val="FF0000"/>
                <w:lang w:eastAsia="en-US"/>
              </w:rPr>
            </w:pPr>
            <w:r w:rsidRPr="00C03A74">
              <w:rPr>
                <w:rFonts w:ascii="Arial Narrow" w:eastAsia="Liberation Sans Narrow" w:hAnsi="Arial Narrow" w:cs="Liberation Sans Narrow"/>
                <w:lang w:eastAsia="en-US"/>
              </w:rPr>
              <w:t>Aparat w wersji kolumnowej, zawierający zintegrowane kółka transportowe.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color w:val="FF0000"/>
                <w:lang w:eastAsia="en-US"/>
              </w:rPr>
            </w:pPr>
            <w:r w:rsidRPr="00C03A74">
              <w:rPr>
                <w:rFonts w:ascii="Arial Narrow" w:eastAsia="Liberation Sans Narrow" w:hAnsi="Arial Narrow" w:cs="Liberation Sans Narrow"/>
                <w:lang w:eastAsia="en-US"/>
              </w:rPr>
              <w:t>Aparat przystosowany do pracy przy ciśnieniu sieci centralnej dla: O2, N2O, Powietrza od 2,8 kPa x 100</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Podgrzewany system oddechowy, możliwe wyłączenie/ włączenie podgrzewania przez użytkownika w konfiguracji systemu lub podgrzewane czujniki przepływu bez możliwości wyłączenia podgrzewania przez użytkownika.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Awaryjne zasilanie elektryczne całego systemu z wbudowanego akumulatora na co najmniej 90 minut.</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Blat roboczy. Wbudowane, regulowane oświetlenie blatu.</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Szuflada na akcesoria z trwałym zamknięciem (typu: zamek na klucz, blokada mechaniczna)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7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 Prezentacja ciśnień gazów w sieci centralnej na ekranie głównym respiratora.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position w:val="1"/>
                <w:lang w:eastAsia="en-US"/>
              </w:rPr>
              <w:t>System bezpieczeństwa zapewniający co najmniej 25% udział O</w:t>
            </w:r>
            <w:r w:rsidRPr="00C03A74">
              <w:rPr>
                <w:rFonts w:ascii="Arial Narrow" w:eastAsia="Liberation Sans Narrow" w:hAnsi="Arial Narrow" w:cs="Liberation Sans Narrow"/>
                <w:lang w:eastAsia="en-US"/>
              </w:rPr>
              <w:t xml:space="preserve">2 </w:t>
            </w:r>
            <w:r w:rsidRPr="00C03A74">
              <w:rPr>
                <w:rFonts w:ascii="Arial Narrow" w:eastAsia="Liberation Sans Narrow" w:hAnsi="Arial Narrow" w:cs="Liberation Sans Narrow"/>
                <w:position w:val="1"/>
                <w:lang w:eastAsia="en-US"/>
              </w:rPr>
              <w:t>w mieszaninie z N</w:t>
            </w:r>
            <w:r w:rsidRPr="00C03A74">
              <w:rPr>
                <w:rFonts w:ascii="Arial Narrow" w:eastAsia="Liberation Sans Narrow" w:hAnsi="Arial Narrow" w:cs="Liberation Sans Narrow"/>
                <w:lang w:eastAsia="en-US"/>
              </w:rPr>
              <w:t>2</w:t>
            </w:r>
            <w:r w:rsidRPr="00C03A74">
              <w:rPr>
                <w:rFonts w:ascii="Arial Narrow" w:eastAsia="Liberation Sans Narrow" w:hAnsi="Arial Narrow" w:cs="Liberation Sans Narrow"/>
                <w:position w:val="1"/>
                <w:lang w:eastAsia="en-US"/>
              </w:rPr>
              <w:t>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Elektroniczny mieszalnik: zapewniający utrzymanie ustawionego wdechowego stężenia tlenu przy zmianie wielkości przepływu świeżych gazów i utrzymanie ustawionego przepływu świeżych gazów przy zmianie stężenie tlenu w mieszaninie podawanej do pacjenta.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Aparat z czujnikami przepływu wdechowym i wydechowym. Czujniki termoanemometryczne (tzw. podgrzewane) lub czujniki przepływu wykonujące pomiar na zasadzie różnicy ciśnień. Czujniki mogą być sterylizowane parowo.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Wirtualne przepływomierze prezentowane na ekranie aparatu.</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Aparat przystosowany do prowadzenia znieczulania w technice LowFlow i MinimalFlow.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Regulowany zawór ograniczający ciśnienie w trybie wentylacji ręcznej (APL) z funkcją natychmiastowego zwolnienia ciśnienia w układzie bez konieczności skręcania do minimum lub poprzez skręcenie zastawki do minimum.</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596"/>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3" w:line="229" w:lineRule="exact"/>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Wbudowany przepływomierz O2 do niezależnej podaży tlenu przez maskę lub kaniulę donosową, regulacja przepływu co najmniej od 0 do 10 l/min</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Miejsca aktywne do zamocowania dwóch parowników.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7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 dostawie 6 zbiorników jednorazowych z wapnem sodowanym, objętość pochłaniacza jednorazowego minimum 1200 ml</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23"/>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Respirator, tryby wentylacji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683"/>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Ekonomiczny respirator z napędem elektrycznym lub ekonomiczny respirator nie zużywający tlenu do napędu lub respirator z napędem pneumatycznym O2.</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Wentylacja kontrolowana objętościowo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Wentylacja kontrolowana ciśnieniowo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6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Wentylacja synchronizowana ze wspomaganiem ciśnieniowym oddechów spontanicznych w trybie kontrolowanym objętościowo i w trybie kontrolowanym ciśnieniowo (VCV-SIMV/PS, PCV-SIMV/PS) lub wentylacja synchronizowana SIMV w trybie ciśnieniowym SIMV-PC i objętościowym SIMV-VC.</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5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o tryb wentylacji z gwarantowaną objętością typu Auto Flow, PRVC; synchronizacja oddechów pacjenta z oddechami obowiązkowymi lub możliwość rozbudowy o tryb wentylacji z gwarantowaną objętością PCV-VG; SIMV PCV- VG.</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CPAP/PSV</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right="19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Funkcja Pauzy (zatrzymanie wentylacji kontrolowanej np. na czas odsysania śluzu lub zmiany pozycji pacjenta), prezentacja na ekranie respiratora czasu pozostałego do zakończenia pauzy.  Czas trwania pauzy regulowany w zakresie do co najmniej 10 min lub czas trwania pauzy regulowany w zakresie do 1min lub czas trwania pauzy w zakresie do 2 min.</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Regulacje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Zakres regulacji częstości oddechowej co najmniej od 4 do 100 odd/min</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55"/>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Zakres regulacji plateau co najmniej od 0% do 50% lub od  5% do 60%.</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7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Zakres regulacji I:E co najmniej od 5:1 do 1:5 lub od 2:1 do 1:8.</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Zakres regulacji objętości oddechowej w trybie kontrolowanym objętościowo co najmniej od 10 do 1500 ml lub zakres objętości oddechowej dla wentylacji objętościowej, od 20 ml do 1500 ml i zakres uzyskiwanej objętości od 5 ml do 1500 ml w trybie wentylacji ciśnieniowej.</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Zakres regulacji czułości wyzwalacza przepływowego co najmniej od 0,3 l/min do 15 l/min lub od 0,2 l/min do 10 l/min</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Ciśnienie wdechowe regulowane w zakresie co najmniej od 10 do 80 hPa (cmH2O) lub w zakresie 5-60 cmH2O.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Wspomaganie ciśnieniowe w trybie PSV regulowane w zakresie od 3 cmH2O do co najmniej 60 cmH2O lub w zakresie 2-40 cmH2O.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23" w:lineRule="exact"/>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Regulacja PEEP w zakresie co najmniej od 2 do 20 hPa (cmH2O); wymagana funkcja WYŁ (OFF) lub w zakresie co najmniej wył, 4-30 cmH2O.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Prezentacje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Prezentacja krzywych w czasie rzeczywistym: p(t), CO2(t), prezentacja pętli p-V, V-przepływ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Prezentacja minitrendów przy krzywych oddechowych lub na wyświetlanej osobnej stronie respiratora.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Ekonometr (funkcja pozwalająca na optymalny dobór przepływu świeżych gazów) wraz z prezentacją trendu ekonometru lub ekonometr bez prezentacji trendu, ale z podaniem kosztu anestetyku w godzinie znieczulenia EcoFlow.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right="79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Funkcja timera (odliczanie do zera od ustawionego czasu) pomocna przy wykonywaniu czynności obwarowanych czasowo, prezentacja na ekranie respiratora lub prezentacja na ekranie kardiomonitora.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Prezentacja ΔVT (różnicy między objętością wdechową a wydechową) lub prezentacja objętości wdechowej  oraz objętości wydechowej  z możliwością obliczenia delta VT przez personel.</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Funkcja stopera (odliczanie czasu od zera) pomocna przy kontroli czasu znieczulenia, kontroli czasu; prezentacja na ekranie respiratora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Prezentacja MV spont, RR spont (objętości minutowej i częstości oddechowej spontanicznej pacjenta) lub prezentacja MV spont (objętości minutowej i częstości oddechowej spontanicznej pacjenta) bez RR spont lub prezentacja MV, RR (objętości minutowej i częstości oddechowej)</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29" w:lineRule="exact"/>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Prezentacja trendów graficznych, funkcja "Zoom +/ Zoom -" ułatwiająca wybór interesującego okresu czasu, funkcja kursora -</w:t>
            </w:r>
          </w:p>
          <w:p w:rsidR="00C03A74" w:rsidRPr="00C03A74" w:rsidRDefault="00C03A74" w:rsidP="00C03A74">
            <w:pPr>
              <w:widowControl w:val="0"/>
              <w:autoSpaceDE w:val="0"/>
              <w:autoSpaceDN w:val="0"/>
              <w:spacing w:line="229" w:lineRule="exact"/>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prezentacja wartości dla konkretnego punktu w czasie lub bez funkcji "Zoom +/ Zoom -" i funkcji kursora.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55"/>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Prezentacja podatności, oporu i elastancji lub prezentacja podatności bez prezentacji oporu i elastancji.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Funkcjonalność</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right="924"/>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Kolorowy ekran, o regulowanej jasności i przekątnej minimum 15”, sterowanie: ekran dotykowy i pokrętło funkcyjne, ekran wbudowany z przodu aparatu lub ekran niewbudowany w przednią ścianę aparatu, mocowany na wysięgniku, pozwalającym na dostosowanie jego położenia w zależności od bieżących potrzeb użytkownika.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3" w:line="229" w:lineRule="exact"/>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Pola parametrów wyświetlane na ekranie mogą być konfigurowane w czasie pracy, możliwe szybkie dopasowanie rozmieszczenia lub</w:t>
            </w:r>
          </w:p>
          <w:p w:rsidR="00C03A74" w:rsidRPr="00C03A74" w:rsidRDefault="00C03A74" w:rsidP="00C03A74">
            <w:pPr>
              <w:widowControl w:val="0"/>
              <w:autoSpaceDE w:val="0"/>
              <w:autoSpaceDN w:val="0"/>
              <w:spacing w:line="229" w:lineRule="exact"/>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zmiany wyświetlanych parametrów w czasie operacji w zależności od aktualnych wymagań użytkownika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Możliwa prezentacja parametrów, np. ciśnienia, objętość, CO2 w odróżniających je kolorach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Konfiguracja urządzenia może być eksportowana i importowana do/z innych aparatów tej serii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2"/>
              <w:ind w:right="197"/>
              <w:rPr>
                <w:rFonts w:ascii="Arial Narrow" w:eastAsia="Liberation Sans Narrow" w:hAnsi="Arial Narrow" w:cs="Liberation Sans Narrow"/>
                <w:lang w:eastAsia="en-US"/>
              </w:rPr>
            </w:pPr>
            <w:r w:rsidRPr="00C03A74">
              <w:rPr>
                <w:rFonts w:ascii="Arial Narrow" w:eastAsia="Liberation Sans Narrow" w:hAnsi="Arial Narrow" w:cs="Liberation Sans Narrow"/>
                <w:position w:val="1"/>
                <w:lang w:eastAsia="en-US"/>
              </w:rPr>
              <w:t>Moduł gazowy w aparacie (pomiar w strumieniu bocznym): pomiary i prezentacja wdechowego i wydechowego stężenia: O</w:t>
            </w:r>
            <w:r w:rsidRPr="00C03A74">
              <w:rPr>
                <w:rFonts w:ascii="Arial Narrow" w:eastAsia="Liberation Sans Narrow" w:hAnsi="Arial Narrow" w:cs="Liberation Sans Narrow"/>
                <w:lang w:eastAsia="en-US"/>
              </w:rPr>
              <w:t xml:space="preserve">2 </w:t>
            </w:r>
            <w:r w:rsidRPr="00C03A74">
              <w:rPr>
                <w:rFonts w:ascii="Arial Narrow" w:eastAsia="Liberation Sans Narrow" w:hAnsi="Arial Narrow" w:cs="Liberation Sans Narrow"/>
                <w:position w:val="1"/>
                <w:lang w:eastAsia="en-US"/>
              </w:rPr>
              <w:t>(pomiar paramagnetyczny), N</w:t>
            </w:r>
            <w:r w:rsidRPr="00C03A74">
              <w:rPr>
                <w:rFonts w:ascii="Arial Narrow" w:eastAsia="Liberation Sans Narrow" w:hAnsi="Arial Narrow" w:cs="Liberation Sans Narrow"/>
                <w:lang w:eastAsia="en-US"/>
              </w:rPr>
              <w:t>2</w:t>
            </w:r>
            <w:r w:rsidRPr="00C03A74">
              <w:rPr>
                <w:rFonts w:ascii="Arial Narrow" w:eastAsia="Liberation Sans Narrow" w:hAnsi="Arial Narrow" w:cs="Liberation Sans Narrow"/>
                <w:position w:val="1"/>
                <w:lang w:eastAsia="en-US"/>
              </w:rPr>
              <w:t>O, CO</w:t>
            </w:r>
            <w:r w:rsidRPr="00C03A74">
              <w:rPr>
                <w:rFonts w:ascii="Arial Narrow" w:eastAsia="Liberation Sans Narrow" w:hAnsi="Arial Narrow" w:cs="Liberation Sans Narrow"/>
                <w:lang w:eastAsia="en-US"/>
              </w:rPr>
              <w:t>2</w:t>
            </w:r>
            <w:r w:rsidRPr="00C03A74">
              <w:rPr>
                <w:rFonts w:ascii="Arial Narrow" w:eastAsia="Liberation Sans Narrow" w:hAnsi="Arial Narrow" w:cs="Liberation Sans Narrow"/>
                <w:position w:val="1"/>
                <w:lang w:eastAsia="en-US"/>
              </w:rPr>
              <w:t xml:space="preserve">, anestetyki (SEV, DES, ISO), automatyczna identyfikacja anestetyku, MAC skorelowany do wieku </w:t>
            </w:r>
            <w:r w:rsidRPr="00C03A74">
              <w:rPr>
                <w:rFonts w:ascii="Arial Narrow" w:eastAsia="Liberation Sans Narrow" w:hAnsi="Arial Narrow" w:cs="Liberation Sans Narrow"/>
                <w:lang w:eastAsia="en-US"/>
              </w:rPr>
              <w:t>pacjenta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Powrót próbki gazowej do układu oddechowego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Eksport do pamięci zewnętrznej USB: widoku ekranu (tzw. PrtScr lub zrzut ekranu), Dziennika (tzw. Rejestr lub Dziennik Zdarzeń lub Logbook, gdzie zapisywane są parametry pracy), wyników Testu, danych trendów lub aparat bez eksportu opisanych danych do pamięci USB, ale z możliwością eksportu danych dziennika zdarzeń i alarmów jedynie do celów serwisowych lub z możliwością eksportu danych dziennika zdarzeń i alarmów oraz danych trendów.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7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Automatyczne wstępne skalkulowanie parametrów wentylacji na podstawie wprowadzonej masy ciała i/lub wzrostu pacjenta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Alarmy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Funkcja autoustawienia alarmów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Alarm ciśnienia w drogach oddechowych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Alarm objętości minutowej</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Alarm bezdechu generowany na podstawie analizy przepływu, ciśnienia, CO2</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Alarm stężenia anestetyku wziewnego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Alarm braku zasilania w O2, Powietrze, N2O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Inne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Oprogramowanie w języku polskim.</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596"/>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Ssak inżektorowy napędzany powietrzem z sieci centralnej, zasilanie ssaka z przyłączy w aparacie, dwa zbiorniki na wydzielinę o</w:t>
            </w:r>
          </w:p>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łącznej objętości minimum 1200 ml na wkłady jednorazowe lub dwa zbiorniki na wydzielinę o objętości po 1000 ml na wkłady jednorazowe.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position w:val="1"/>
                <w:lang w:eastAsia="en-US"/>
              </w:rPr>
              <w:t>Dreny do podłączenia O</w:t>
            </w:r>
            <w:r w:rsidRPr="00C03A74">
              <w:rPr>
                <w:rFonts w:ascii="Arial Narrow" w:eastAsia="Liberation Sans Narrow" w:hAnsi="Arial Narrow" w:cs="Liberation Sans Narrow"/>
                <w:lang w:eastAsia="en-US"/>
              </w:rPr>
              <w:t>2</w:t>
            </w:r>
            <w:r w:rsidRPr="00C03A74">
              <w:rPr>
                <w:rFonts w:ascii="Arial Narrow" w:eastAsia="Liberation Sans Narrow" w:hAnsi="Arial Narrow" w:cs="Liberation Sans Narrow"/>
                <w:position w:val="1"/>
                <w:lang w:eastAsia="en-US"/>
              </w:rPr>
              <w:t>, N</w:t>
            </w:r>
            <w:r w:rsidRPr="00C03A74">
              <w:rPr>
                <w:rFonts w:ascii="Arial Narrow" w:eastAsia="Liberation Sans Narrow" w:hAnsi="Arial Narrow" w:cs="Liberation Sans Narrow"/>
                <w:lang w:eastAsia="en-US"/>
              </w:rPr>
              <w:t>2</w:t>
            </w:r>
            <w:r w:rsidRPr="00C03A74">
              <w:rPr>
                <w:rFonts w:ascii="Arial Narrow" w:eastAsia="Liberation Sans Narrow" w:hAnsi="Arial Narrow" w:cs="Liberation Sans Narrow"/>
                <w:position w:val="1"/>
                <w:lang w:eastAsia="en-US"/>
              </w:rPr>
              <w:t>O i Powietrza o minimum dł. 1.5m każdy; wtyki typu AGA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7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Aparat z kółkami umożliwiającymi transport aparatu w obszarze pracy w celach relokacji lub serwisowych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Całkowicie automatyczny test główny bez interakcji z użytkownikiem w trakcie trwania procedury lub automatyczny test z interakcją z użytkownikiem w trakcie trwania procedury testowania.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Lista kontrolna, czynności do wykonania przed rozpoczęciem testu, prezentowana na ekranie respiratora w formie grafik i tekstu</w:t>
            </w:r>
          </w:p>
          <w:p w:rsidR="00C03A74" w:rsidRPr="00C03A74" w:rsidRDefault="00C03A74" w:rsidP="00C03A74">
            <w:pPr>
              <w:widowControl w:val="0"/>
              <w:autoSpaceDE w:val="0"/>
              <w:autoSpaceDN w:val="0"/>
              <w:spacing w:before="1"/>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objaśniających poszczególne czynności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System ewakuacji gazów, zintegrowany, z niezbędnymi akcesoriami umożliwiającymi podłączenie do odciągu szpitalnego, wskaźnik przepływu ewakuowanych gazów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Wymagane akcesoria dodatkowe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7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Zbiornik wielorazowy na wapno, możliwa sterylizacja parowa w temperaturze 134 st. C</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Jednorazowe układy oddechowe, współosiowe, z pułapkami 10 szt.  lub bez pułapek (worek oddechowy 2 L, długość rur co najmniej 170 cm)</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Jednorazowe wkłady na wydzielinę z żelem – 25 szt.</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Pułapki wodne do modułu gazowego 12 szt.</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Linie próbkujące 10 szt.</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Monitor do aparatu, wymagania ogólne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95"/>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przeznaczony do monitorowania pacjentów w kategorii wiekowej: dorośli z łatwym przełączaniem kategorii, powiązanej z</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algorytmami pomiarowymi i ustawieniami monitora.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96"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pacjenta składa się z monitora stacjonarnego i modułu transportowego, zgodnie ze szczegółowymi wymaganiami, znajdującymi się w dalszej części specyfikacji.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przystosowany do pracy w sieci centralnego monitorowania, opartej na standardowych rozwiązaniach (IEEE 802.3), wykorzystuje protokoły TCP/IP oraz transmisję typu multicast lub monitor przystosowany do pracy w sieci centralnego monitorowania, opartej na standardowych rozwiązaniach (IEEE 802.3), wykorzystuje protokoły TCP/IP oraz inny niż "multicast" typ transmisji.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wyposażony w funkcję automatycznego dopasowania układu ekranu do aktualnie monitorowanych parametrów, włączającą i usuwającą odpowiednie pola krzywych dynamicznych i wartości liczbowych parametrów, bez zakłócania pracy monitora i bez konieczności ręcznego włączania i usuwania tych pól. Wymagane jest działanie "Plug and Play".</w:t>
            </w: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Pola wyświetlające monitorowane parametry powinny automatycznie zwiększać swoje wymiary wraz ze zmniejszaniem liczby</w:t>
            </w:r>
          </w:p>
          <w:p w:rsidR="00C03A74" w:rsidRPr="00C03A74" w:rsidRDefault="00C03A74" w:rsidP="00C03A74">
            <w:pPr>
              <w:widowControl w:val="0"/>
              <w:autoSpaceDE w:val="0"/>
              <w:autoSpaceDN w:val="0"/>
              <w:spacing w:before="18" w:line="254" w:lineRule="auto"/>
              <w:ind w:left="72" w:right="2395"/>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jednocześnie monitorowanych parametrów, wykorzystując do wyświetlania cały ekran monitora. Każdy monitor umożliwia jednoczesne wyświetlanie wszystkich wymaganych parametrów.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right="6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wyposażony w kolorowy ekran, z możliwością wyświetlania przynajmniej 10 krzywych dynamicznych na całej szerokości ekranu, od jego krawędzi do pola parametrów powiązanych z odpowiadającymi im krzywymi. Przekątna ekranu min. 17” w formacie panoramicznym</w:t>
            </w:r>
          </w:p>
          <w:p w:rsidR="00C03A74" w:rsidRPr="00C03A74" w:rsidRDefault="00C03A74" w:rsidP="00C03A74">
            <w:pPr>
              <w:widowControl w:val="0"/>
              <w:autoSpaceDE w:val="0"/>
              <w:autoSpaceDN w:val="0"/>
              <w:ind w:right="6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 lub</w:t>
            </w:r>
          </w:p>
          <w:p w:rsidR="00C03A74" w:rsidRPr="00C03A74" w:rsidRDefault="00C03A74" w:rsidP="00C03A74">
            <w:pPr>
              <w:widowControl w:val="0"/>
              <w:autoSpaceDE w:val="0"/>
              <w:autoSpaceDN w:val="0"/>
              <w:ind w:right="6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wyposażony w kolorowy ekran, umożliwiający jednoczesną prezentację 8 krzywych dynamicznych na całej szerokości ekranu, od jego krawędzi, do pola parametrów powiązanych z odpowiadającymi im krzywymi, z możliwością prezentacji do 14 krzywych na jednym ekranie z wykorzystaniem dodatkowych okienek i zakładek. Przekątna ekranu 15" w formacie 4:3.</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o dodatkowy ekran kopiujący oraz możliwość rozbudowy o dodatkowy ekran z niezależną konfiguracją sposobu wyświetlania.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Ekran ze sterowaniem dotykowym, z możliwością obsługi w rękawiczkach, zapewniający prezentację monitorowanych parametrów</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życiowych pacjenta i interaktywne sterowanie pomiarami.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Sterowanie monitorem za pomocą menu ekranowego w języku polskim: dostęp do często używanych funkcji za pomocą dedykowanych przycisków ekranowych, wybór parametru i funkcji przez dotyk na ekranie, zmiana wartości oraz wybór pozycji z listy przy pomocy pokrętła, zatwierdzanie wyboru przez naciśnięcie pokrętła.</w:t>
            </w:r>
          </w:p>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Sterowanie monitorem za pomocą menu ekranowego w języku polskim: dostęp do często używanych funkcji za pomocą dedykowanych przycisków ekranowych, wybór parametru i funkcji przez dotyk na ekranie, zmiana wartości oraz wybór pozycji z listy przy wykorzystaniu funkcji gestów.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Funkcja czasowego wyłączenia sterowania dotykowego, ułatwiająca czyszczenie ekranu.</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ind w:right="5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monitora o interaktywny dostęp na jego ekranie do zasobów informatycznych sieci komputerowej szpitala, takich jak diagnostyka obrazowa, dane laboratoryjne, ruch chorych, komputerowa karta chorobowa, dedykowane strony www, z wyświetlaniem danych na pełnym ekranie oferowanego monitora z zachowaniem ciągłego podglądu podstawowych monitorowanych parametrów pacjenta na ekranie modułu transportowego lub w dedykowanym okienku umożliwiając obserwację parametrów na ekranie głównym kardiomonitora, w którym ekran modułu transportowego po zadokowaniu na stanowisku pracy wygasza się i umożliwia tymczasowy podgląd monitorowanych parametrów, po naciśnięciu ekranu. Obsługa dostępu do zasobów sieciowych za pomocą ekranu dotykowego oraz za pomocą klawiatury i myszy.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oferowanego systemu monitorowania o komputerową kartę znieczulenia, posiadającą następującą funkcjonalność, przynajmniej:</w:t>
            </w:r>
          </w:p>
          <w:p w:rsidR="00C03A74" w:rsidRPr="00C03A74" w:rsidRDefault="00C03A74" w:rsidP="00C03A74">
            <w:pPr>
              <w:widowControl w:val="0"/>
              <w:numPr>
                <w:ilvl w:val="0"/>
                <w:numId w:val="11"/>
              </w:numPr>
              <w:tabs>
                <w:tab w:val="left" w:pos="173"/>
              </w:tabs>
              <w:suppressAutoHyphens/>
              <w:autoSpaceDE w:val="0"/>
              <w:autoSpaceDN w:val="0"/>
              <w:spacing w:after="200" w:line="256" w:lineRule="auto"/>
              <w:ind w:right="42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automatycznego pobierania danych pacjenta ze szpitalnego systemu komputerowego (typu HIS), z wykorzystaniem protokołuHL7(przynajmniejimięinazwisko,wiek,wzrostimasaciała),napodstawiewprowadzonegonumeruidentyfikacyjnego</w:t>
            </w:r>
          </w:p>
          <w:p w:rsidR="00C03A74" w:rsidRPr="00C03A74" w:rsidRDefault="00C03A74" w:rsidP="00C03A74">
            <w:pPr>
              <w:widowControl w:val="0"/>
              <w:numPr>
                <w:ilvl w:val="0"/>
                <w:numId w:val="11"/>
              </w:numPr>
              <w:tabs>
                <w:tab w:val="left" w:pos="173"/>
              </w:tabs>
              <w:suppressAutoHyphens/>
              <w:autoSpaceDE w:val="0"/>
              <w:autoSpaceDN w:val="0"/>
              <w:spacing w:after="200" w:line="226" w:lineRule="exact"/>
              <w:ind w:left="17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automatycznaakwizycjawybranychparametrówzmonitorapacjentaiaparatudoznieczulania,wwybranychodstępachczasowych</w:t>
            </w:r>
          </w:p>
          <w:p w:rsidR="00C03A74" w:rsidRPr="00C03A74" w:rsidRDefault="00C03A74" w:rsidP="00C03A74">
            <w:pPr>
              <w:widowControl w:val="0"/>
              <w:numPr>
                <w:ilvl w:val="0"/>
                <w:numId w:val="11"/>
              </w:numPr>
              <w:tabs>
                <w:tab w:val="left" w:pos="173"/>
              </w:tabs>
              <w:suppressAutoHyphens/>
              <w:autoSpaceDE w:val="0"/>
              <w:autoSpaceDN w:val="0"/>
              <w:spacing w:before="17" w:after="200" w:line="276" w:lineRule="auto"/>
              <w:ind w:left="17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dokumentacja terapii płynowej ilekowej</w:t>
            </w:r>
          </w:p>
          <w:p w:rsidR="00C03A74" w:rsidRPr="00C03A74" w:rsidRDefault="00C03A74" w:rsidP="00C03A74">
            <w:pPr>
              <w:widowControl w:val="0"/>
              <w:numPr>
                <w:ilvl w:val="0"/>
                <w:numId w:val="11"/>
              </w:numPr>
              <w:tabs>
                <w:tab w:val="left" w:pos="173"/>
              </w:tabs>
              <w:suppressAutoHyphens/>
              <w:autoSpaceDE w:val="0"/>
              <w:autoSpaceDN w:val="0"/>
              <w:spacing w:before="18" w:after="200" w:line="276" w:lineRule="auto"/>
              <w:ind w:left="17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interaktywnydostępdotejkartynaekranieoferowanegomonitorapacjenta,obsługazapomocąklawiaturyimyszykomputerowej</w:t>
            </w:r>
          </w:p>
          <w:p w:rsidR="00C03A74" w:rsidRPr="00C03A74" w:rsidRDefault="00C03A74" w:rsidP="00C03A74">
            <w:pPr>
              <w:widowControl w:val="0"/>
              <w:numPr>
                <w:ilvl w:val="0"/>
                <w:numId w:val="11"/>
              </w:numPr>
              <w:tabs>
                <w:tab w:val="left" w:pos="173"/>
              </w:tabs>
              <w:suppressAutoHyphens/>
              <w:autoSpaceDE w:val="0"/>
              <w:autoSpaceDN w:val="0"/>
              <w:spacing w:before="178" w:after="200" w:line="276" w:lineRule="auto"/>
              <w:ind w:left="17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interaktywny dostęp do karty na stacjonarnych i przenośnych urządzeniachkomputerowych</w:t>
            </w:r>
          </w:p>
          <w:p w:rsidR="00C03A74" w:rsidRPr="00C03A74" w:rsidRDefault="00C03A74" w:rsidP="00C03A74">
            <w:pPr>
              <w:widowControl w:val="0"/>
              <w:numPr>
                <w:ilvl w:val="0"/>
                <w:numId w:val="11"/>
              </w:numPr>
              <w:tabs>
                <w:tab w:val="left" w:pos="173"/>
              </w:tabs>
              <w:suppressAutoHyphens/>
              <w:autoSpaceDE w:val="0"/>
              <w:autoSpaceDN w:val="0"/>
              <w:spacing w:before="18" w:after="200" w:line="276" w:lineRule="auto"/>
              <w:ind w:left="17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formularze do wydruku oparte na aktualnym rozporządzeniu Ministrazdrowia</w:t>
            </w:r>
          </w:p>
          <w:p w:rsidR="00C03A74" w:rsidRPr="00C03A74" w:rsidRDefault="00C03A74" w:rsidP="00C03A74">
            <w:pPr>
              <w:widowControl w:val="0"/>
              <w:numPr>
                <w:ilvl w:val="0"/>
                <w:numId w:val="11"/>
              </w:numPr>
              <w:tabs>
                <w:tab w:val="left" w:pos="173"/>
              </w:tabs>
              <w:suppressAutoHyphens/>
              <w:autoSpaceDE w:val="0"/>
              <w:autoSpaceDN w:val="0"/>
              <w:spacing w:before="18" w:after="200" w:line="276" w:lineRule="auto"/>
              <w:ind w:left="17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archiwizacji w komputerowych systemachbazodanowych</w:t>
            </w:r>
          </w:p>
          <w:p w:rsidR="00C03A74" w:rsidRPr="00C03A74" w:rsidRDefault="00C03A74" w:rsidP="00C03A74">
            <w:pPr>
              <w:widowControl w:val="0"/>
              <w:numPr>
                <w:ilvl w:val="0"/>
                <w:numId w:val="11"/>
              </w:numPr>
              <w:tabs>
                <w:tab w:val="left" w:pos="173"/>
              </w:tabs>
              <w:suppressAutoHyphens/>
              <w:autoSpaceDE w:val="0"/>
              <w:autoSpaceDN w:val="0"/>
              <w:spacing w:before="20" w:after="200" w:line="254" w:lineRule="auto"/>
              <w:ind w:right="55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możliwośćwykorzystaniazbieranychdanychdoanaliziporównań,przywykorzystaniustandardowychnarzędzianalitycznych Możliwość takiej rozbudowy dostępna w dniu składaniaoferty.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Interfejs ekranowy monitora zharmonizowany z interfejsem oferowanego aparatu do znieczulania, przynajmniej pod względem wyglądu i położenia na ekranie podstawowych elementów, takich jak przyciski i inne elementy sterujące, pola komunikatów alarmowych </w:t>
            </w:r>
          </w:p>
          <w:p w:rsidR="00C03A74" w:rsidRPr="00C03A74" w:rsidRDefault="00C03A74" w:rsidP="00C03A74">
            <w:pPr>
              <w:widowControl w:val="0"/>
              <w:autoSpaceDE w:val="0"/>
              <w:autoSpaceDN w:val="0"/>
              <w:spacing w:line="254" w:lineRule="auto"/>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ind w:right="12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interfejs ekranowy kardiomonitora tożsamy z interfejsem oferowanego modułu transportowego, a zapewniający podobny sposób obsługi z aparatem do znieczulania.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o współpracę z aparatem do znieczulania w następującym zakresie, przynajmniej:</w:t>
            </w:r>
          </w:p>
          <w:p w:rsidR="00C03A74" w:rsidRPr="00C03A74" w:rsidRDefault="00C03A74" w:rsidP="00C03A74">
            <w:pPr>
              <w:widowControl w:val="0"/>
              <w:numPr>
                <w:ilvl w:val="0"/>
                <w:numId w:val="13"/>
              </w:numPr>
              <w:tabs>
                <w:tab w:val="left" w:pos="173"/>
              </w:tabs>
              <w:suppressAutoHyphens/>
              <w:autoSpaceDE w:val="0"/>
              <w:autoSpaceDN w:val="0"/>
              <w:spacing w:before="19" w:after="200" w:line="27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synchronizacja czasu między aparatem a monitorempacjenta,</w:t>
            </w:r>
          </w:p>
          <w:p w:rsidR="00C03A74" w:rsidRPr="00C03A74" w:rsidRDefault="00C03A74" w:rsidP="00C03A74">
            <w:pPr>
              <w:widowControl w:val="0"/>
              <w:numPr>
                <w:ilvl w:val="0"/>
                <w:numId w:val="13"/>
              </w:numPr>
              <w:tabs>
                <w:tab w:val="left" w:pos="173"/>
              </w:tabs>
              <w:suppressAutoHyphens/>
              <w:autoSpaceDE w:val="0"/>
              <w:autoSpaceDN w:val="0"/>
              <w:spacing w:before="17" w:after="200" w:line="27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przesyłanie z monitora do aparatu informacji o wieku i wzrościepacjenta,</w:t>
            </w:r>
          </w:p>
          <w:p w:rsidR="00C03A74" w:rsidRPr="00C03A74" w:rsidRDefault="00C03A74" w:rsidP="00C03A74">
            <w:pPr>
              <w:widowControl w:val="0"/>
              <w:numPr>
                <w:ilvl w:val="0"/>
                <w:numId w:val="13"/>
              </w:numPr>
              <w:tabs>
                <w:tab w:val="left" w:pos="173"/>
              </w:tabs>
              <w:suppressAutoHyphens/>
              <w:autoSpaceDE w:val="0"/>
              <w:autoSpaceDN w:val="0"/>
              <w:spacing w:before="18" w:after="200" w:line="27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wyciszanie alarmów monitora i aparatu dowolnym przyciskiem wyciszania w monitorze albo waparacie,</w:t>
            </w:r>
          </w:p>
          <w:p w:rsidR="00C03A74" w:rsidRPr="00C03A74" w:rsidRDefault="00C03A74" w:rsidP="00C03A74">
            <w:pPr>
              <w:widowControl w:val="0"/>
              <w:numPr>
                <w:ilvl w:val="0"/>
                <w:numId w:val="13"/>
              </w:numPr>
              <w:tabs>
                <w:tab w:val="left" w:pos="173"/>
              </w:tabs>
              <w:suppressAutoHyphens/>
              <w:autoSpaceDE w:val="0"/>
              <w:autoSpaceDN w:val="0"/>
              <w:spacing w:before="18" w:after="200" w:line="27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przyciemnianieekranujednocześniemonitoraiaparatuuruchamianedowolniezmonitoraizaparatu(np.do laparoskopii),</w:t>
            </w:r>
          </w:p>
          <w:p w:rsidR="00C03A74" w:rsidRPr="00C03A74" w:rsidRDefault="00C03A74" w:rsidP="00C03A74">
            <w:pPr>
              <w:widowControl w:val="0"/>
              <w:tabs>
                <w:tab w:val="left" w:pos="173"/>
              </w:tabs>
              <w:autoSpaceDE w:val="0"/>
              <w:autoSpaceDN w:val="0"/>
              <w:spacing w:before="1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tabs>
                <w:tab w:val="left" w:pos="173"/>
              </w:tabs>
              <w:autoSpaceDE w:val="0"/>
              <w:autoSpaceDN w:val="0"/>
              <w:spacing w:before="1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umożliwiającą wyświetlanie parametrów życiowych i informacji o alarmach z aparatu na ekranie kardiomonitora,</w:t>
            </w:r>
          </w:p>
          <w:p w:rsidR="00C03A74" w:rsidRPr="00C03A74" w:rsidRDefault="00C03A74" w:rsidP="00C03A74">
            <w:pPr>
              <w:widowControl w:val="0"/>
              <w:tabs>
                <w:tab w:val="left" w:pos="173"/>
              </w:tabs>
              <w:autoSpaceDE w:val="0"/>
              <w:autoSpaceDN w:val="0"/>
              <w:spacing w:before="1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synchronizację uruchamiania obu urządzeń jednocześnie po naciśnięciu jednego przycisku włączenia’</w:t>
            </w:r>
          </w:p>
          <w:p w:rsidR="00C03A74" w:rsidRPr="00C03A74" w:rsidRDefault="00C03A74" w:rsidP="00C03A74">
            <w:pPr>
              <w:widowControl w:val="0"/>
              <w:tabs>
                <w:tab w:val="left" w:pos="173"/>
              </w:tabs>
              <w:autoSpaceDE w:val="0"/>
              <w:autoSpaceDN w:val="0"/>
              <w:spacing w:before="1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tabs>
                <w:tab w:val="left" w:pos="173"/>
              </w:tabs>
              <w:autoSpaceDE w:val="0"/>
              <w:autoSpaceDN w:val="0"/>
              <w:spacing w:before="1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umożliwiającą wyświetlanie parametrów życiowych i informacji o alarmach z aparatu na ekranie kardiomonitora,</w:t>
            </w:r>
          </w:p>
          <w:p w:rsidR="00C03A74" w:rsidRPr="00C03A74" w:rsidRDefault="00C03A74" w:rsidP="00C03A74">
            <w:pPr>
              <w:widowControl w:val="0"/>
              <w:tabs>
                <w:tab w:val="left" w:pos="173"/>
              </w:tabs>
              <w:autoSpaceDE w:val="0"/>
              <w:autoSpaceDN w:val="0"/>
              <w:spacing w:before="18"/>
              <w:rPr>
                <w:rFonts w:ascii="Arial Narrow" w:eastAsia="Liberation Sans Narrow" w:hAnsi="Arial Narrow" w:cs="Liberation Sans Narrow"/>
                <w:color w:val="FF0000"/>
                <w:highlight w:val="yellow"/>
                <w:lang w:eastAsia="en-US"/>
              </w:rPr>
            </w:pPr>
            <w:r w:rsidRPr="00C03A74">
              <w:rPr>
                <w:rFonts w:ascii="Arial Narrow" w:eastAsia="Liberation Sans Narrow" w:hAnsi="Arial Narrow" w:cs="Liberation Sans Narrow"/>
                <w:lang w:eastAsia="en-US"/>
              </w:rPr>
              <w:t>- umożliwiającą wyświetlanie na ekranie kardiomonitora krzywych ciśnienia, przepływu i objętości oraz kreślenia pętli oddechowych (PV, PF, FV).</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96"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Konfiguracja wszystkich funkcji związanych z monitorowaniem pacjenta dostępna bez przerywania monitorowania, z wyświetlaniem danych pacjenta na głównym ekranie monitora.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umożliwia przygotowanie domyślnej konfiguracji, automatycznie przyjmowanej dla każdego nowego pacjenta. W skład takiej konfiguracji wchodzi ustawienie sposobu wyświetlania parametrów (w tym kolory, kolejność), sposobu alarmowania (w tym głośność alarmów, aktywacja alarmów wybranych parametrów i sposób ich archiwizacji), ustawione granice alarmowe poszczególnych parametrów.</w:t>
            </w:r>
          </w:p>
          <w:p w:rsidR="00C03A74" w:rsidRPr="00C03A74" w:rsidRDefault="00C03A74" w:rsidP="00C03A74">
            <w:pPr>
              <w:widowControl w:val="0"/>
              <w:autoSpaceDE w:val="0"/>
              <w:autoSpaceDN w:val="0"/>
              <w:spacing w:line="227" w:lineRule="exact"/>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zapamiętania i łatwego przywołania przynajmniej czterech takich zestawów dla kategorii wiekowej pacjentów (dorośli).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spacing w:after="160" w:line="254" w:lineRule="auto"/>
              <w:rPr>
                <w:rFonts w:ascii="Arial Narrow" w:eastAsia="SimSun" w:hAnsi="Arial Narrow" w:cs="Calibri"/>
                <w:kern w:val="3"/>
                <w:lang w:eastAsia="zh-CN"/>
              </w:rPr>
            </w:pPr>
            <w:r w:rsidRPr="00C03A74">
              <w:rPr>
                <w:rFonts w:ascii="Arial Narrow" w:eastAsia="SimSun" w:hAnsi="Arial Narrow" w:cs="Mangal"/>
                <w:kern w:val="3"/>
                <w:lang w:eastAsia="zh-CN"/>
              </w:rPr>
              <w:t>Możliwość przenoszenia konfiguracji przygotowanej w jednym monitorze do innych monitorów za pomocą pamięci USB i za pomocą sieci, z którą są połączone te monitory.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systemu monitorowania o zdalny dostęp do parametrów mierzonych przez monitor, za pośrednictwem sieci szpitala, przewodowej i bezprzewodowej, w oknie przeglądarki internetowej na mobilnych i stacjonarnych urządzeniach komputerowych. Dostęp do podglądu danych z monitorów pacjenta możliwy tylko i wyłącznie przez upoważniony personel, po zalogowaniu się do systemu, za pomocą nazwy i okresowo zmienianego hasła lub za pomocą innego rozwiązania o równoważnym poziomie zabezpieczenia przed nieupoważnionym dostępem do danych.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ind w:right="5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systemu monitorowania o przenoszenie danych pacjenta z monitora do oprogramowania na komputerach PC. Przenoszenie tych danych możliwe tylko i wyłącznie za pomocą specjalnych narzędzi udostępnionych upoważnionemu personelowi, po zalogowaniu się do systemu przy pomocy nazwy i okresowo zmienianego hasła lub za pomocą innego rozwiązania o równoważnym poziomie zabezpieczenia przed nieupoważnionym dostępem do danych. W szczególności wyklucza się każdą możliwość bezpośredniego kopiowania danych pacjenta z monitora na wymienne nośniki pamięci (USB, SD itp.), podłączane do monitora.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line="254" w:lineRule="auto"/>
              <w:ind w:right="12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 przypadku odłączenia zasilania z sieci elektrycznej, monitor ma potencjalną możliwość kontynuacji monitorowania min.: EKG, ST, arytmii, oddechu, SpO2, ciśnienia metodą nieinwazyjną, ciśnienia metodą inwazyjną (w 8 torach), temperatury (w 4 torach) i CO2 co najmniej przez 3 godziny oraz zachowuje ciągłość monitorowania przynajmniej w zakresie trendów powyższych parametrów i zdarzeń alarmowych przed odłączeniem zasilania, w trakcie i po przywróceniu zasilania</w:t>
            </w:r>
          </w:p>
          <w:p w:rsidR="00C03A74" w:rsidRPr="00C03A74" w:rsidRDefault="00C03A74" w:rsidP="00C03A74">
            <w:pPr>
              <w:widowControl w:val="0"/>
              <w:autoSpaceDE w:val="0"/>
              <w:autoSpaceDN w:val="0"/>
              <w:spacing w:before="1" w:line="254" w:lineRule="auto"/>
              <w:ind w:left="72" w:right="12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before="1" w:line="254" w:lineRule="auto"/>
              <w:ind w:left="72" w:right="12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 przypadku odłączenia zasilania z sieci elektrycznej monitor zapewnia potencjalną możliwość kontynuacji monitorowania  parametrów: m.in. EKG, ST, arytmii, oddechu, SpO2, ciśnienia metodą nieinwazyjną, ciśnienia metodą inwazyjną w 4 kanałach, temperatury w 2 kanałach, CO2, zwiotczenia mięśni, głębokości uśpienia, głębokości analgezji wraz z prezentacją wszystkich wymienionych parametrów na ekranie kardiomonitora przez 2 godziny</w:t>
            </w:r>
          </w:p>
          <w:p w:rsidR="00C03A74" w:rsidRPr="00C03A74" w:rsidRDefault="00C03A74" w:rsidP="00C03A74">
            <w:pPr>
              <w:widowControl w:val="0"/>
              <w:autoSpaceDE w:val="0"/>
              <w:autoSpaceDN w:val="0"/>
              <w:spacing w:before="1" w:line="254" w:lineRule="auto"/>
              <w:ind w:left="72" w:right="12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before="1" w:line="254" w:lineRule="auto"/>
              <w:ind w:left="72" w:right="126"/>
              <w:rPr>
                <w:rFonts w:ascii="Arial Narrow" w:eastAsia="Liberation Sans Narrow" w:hAnsi="Arial Narrow" w:cs="Liberation Sans Narrow"/>
                <w:color w:val="FF0000"/>
                <w:lang w:eastAsia="en-US"/>
              </w:rPr>
            </w:pPr>
            <w:r w:rsidRPr="00C03A74">
              <w:rPr>
                <w:rFonts w:ascii="Arial Narrow" w:eastAsia="Liberation Sans Narrow" w:hAnsi="Arial Narrow" w:cs="Liberation Sans Narrow"/>
                <w:lang w:eastAsia="en-US"/>
              </w:rPr>
              <w:t>w przypadku odłączenia zasilania z sieci elektrycznej monitor zapewnia potencjalną możliwość kontynuacji monitorowania  parametrów z wyświetlaniem na monitorze stacjonarnym: m.in. EKG, ST, arytmii, oddechu, SpO2, ciśnienia metodą nieinwazyjną (pomiar co 15 minut) wraz z prezentacją wszystkich wymienionych parametrów na ekranie monitora stacjonarnego przez 2 godziny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Funkcja drukowania, na drukarce laserowej, odpowiednio sformatowanych tematycznych raportów, z podsumowaniem stanu</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pacjenta. Możliwość skonfigurowania własnego zestawu kilku różnych raportów do wydrukowania za pomocą jednego polecenia lub bez możliwości skonfigurowania własnego zestawu kilku różnych raportów do wydruku za pomocą jednego polecenia.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Wszystkie elementy monitora chłodzone pasywnie, bez wspomagania wentylatorem.</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2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Monitor ergonomicznie zamocowany do aparatu do znieczulania. </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Alarmy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95"/>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Ręczne oraz automatyczne ustawianie granic alarmowych, na żądanie, na podstawie bieżących wartości parametrów, jednocześnie</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dla wszystkich monitorowanych parametrów.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3"/>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trwałego i czasowego zablokowania alarmów tylko ciśnienia inwazyjnego, niezależnie od pozostałych alarmów, z odpowiednią sygnalizacją takiego stanu, lub inna metoda umożliwiająca przygotowanie linii pomiarowych ciśnienia przed przybyciem pacjenta, oraz obsługę linii pomiarowych, bez zakłócania alarmami i bez ograniczania normalnego monitorowania innych parametrów.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spacing w:before="1"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Rejestracja w pamięci monitora zdarzeń alarmowych z zapisem odcinka krzywej dynamicznej parametru wywołującego alarm, innych krzywych dynamicznych oraz wartości liczbowych wszystkich parametrów monitorowanych w czasie wystąpienia alarmu</w:t>
            </w:r>
          </w:p>
          <w:p w:rsidR="00C03A74" w:rsidRPr="00C03A74" w:rsidRDefault="00C03A74" w:rsidP="00C03A74">
            <w:pPr>
              <w:widowControl w:val="0"/>
              <w:autoSpaceDE w:val="0"/>
              <w:autoSpaceDN w:val="0"/>
              <w:spacing w:before="1" w:line="254"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 lub</w:t>
            </w:r>
          </w:p>
          <w:p w:rsidR="00C03A74" w:rsidRPr="00C03A74" w:rsidRDefault="00C03A74" w:rsidP="00C03A74">
            <w:pPr>
              <w:widowControl w:val="0"/>
              <w:autoSpaceDE w:val="0"/>
              <w:autoSpaceDN w:val="0"/>
              <w:spacing w:before="1" w:line="254"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rejestracja w pamięci monitora 999 zdarzeń alarmowych i zapisywanych ręcznie oraz do 400 wycinków zawierających fragmenty krzywych dynamicznych i trendy parametrów wybranych przez Użytkownika.</w:t>
            </w:r>
          </w:p>
          <w:p w:rsidR="00C03A74" w:rsidRPr="00C03A74" w:rsidRDefault="00C03A74" w:rsidP="00C03A74">
            <w:pPr>
              <w:widowControl w:val="0"/>
              <w:autoSpaceDE w:val="0"/>
              <w:autoSpaceDN w:val="0"/>
              <w:spacing w:before="1" w:line="254" w:lineRule="auto"/>
              <w:ind w:left="72"/>
              <w:rPr>
                <w:rFonts w:ascii="Arial Narrow" w:eastAsia="Liberation Sans Narrow" w:hAnsi="Arial Narrow" w:cs="Liberation Sans Narrow"/>
                <w:lang w:eastAsia="en-US"/>
              </w:rPr>
            </w:pP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2"/>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Świetlna sygnalizacja alarmów, w trzech kolorach, odpowiadających poziomom alarmów (czerwony, żółty, niebieski), widoczna z 360 stopni dookoła monitora</w:t>
            </w:r>
          </w:p>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Świetlna sygnalizacja alarmów, w trzech kolorach, odpowiadających poziomom alarmów (wysoki - czerwony, średni - żółty, niski - niebieski), świecąca lub migająca w zależności od poziomu alarmów (wysoki -szybkie miganie, średni – wolne miganie, niski – ciągłe świecenie bez migania), widoczna z kątem widoczności co najmniej 178 stopni </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Specjalny, dobrze widoczny wskaźnik informujący o wyciszeniu i o zawieszeniu alarmów, z informacją o pozostałym czasie</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wyciszenia i zawieszenia.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8"/>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Informacja o ustawionej głośności alarmów, stale wyświetlana na ekranie monitora, podczas normalnej pracy monitora bez alarmu</w:t>
            </w: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informacja o ustawionej głośności alarmów dostępna w menu ekranowym ustawień alarmów dostępnym po naciśnięciu przycisku na pasku menu głównego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Transport pacjenta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41"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wyposażony w moduł transportowy, o potencjalnej możliwości ciągłego i nieprzerwanego monitorowania co najmniej: EKG w pełnym wymaganym zakresie (ST, arytmia), SpO2, ciśnienia metodą nieinwazyjną, ciśnienia metodą inwazyjną (x8), temperatury (x4), oraz CO2 w strumieniu głównym i bocznym podczas transportu pacjenta, w szczególności bez żadnych przerw związanych z rozpoczynaniem i kończeniem transportu, oraz bez konieczności wymiany modułów pomiarowych albo układów pacjenta na czas transportu. Ciągłość monitorowania dotyczy trendów wszystkich monitorowanych parametrów (nie tylko parametrów monitorowanych przez sam moduł transportowy), trendów z urządzeń podłączonych na poprzednim stanowisku (jak np. respirator, aparat do znieczulania), wyników obliczeń (hemodynamicznych, natlenienia i wentylacji) oraz zdarzeń alarmowych z poprzedniego stanowiska, trendów i zdarzeń zapamiętanych podczas transportu i automatyczną ich integrację z danymi na nowym stanowisku</w:t>
            </w:r>
          </w:p>
          <w:p w:rsidR="00C03A74" w:rsidRPr="00C03A74" w:rsidRDefault="00C03A74" w:rsidP="00C03A74">
            <w:pPr>
              <w:widowControl w:val="0"/>
              <w:autoSpaceDE w:val="0"/>
              <w:autoSpaceDN w:val="0"/>
              <w:spacing w:before="141" w:line="254"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ind w:right="8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monitor wyposażony w moduł transportowy o potencjalnej możliwości nieprzerwanego monitorowania: EKG, </w:t>
            </w:r>
            <w:r w:rsidRPr="00C03A74">
              <w:rPr>
                <w:rFonts w:ascii="Arial Narrow" w:eastAsia="Liberation Sans Narrow" w:hAnsi="Arial Narrow" w:cs="Liberation Sans Narrow"/>
                <w:spacing w:val="-7"/>
                <w:lang w:eastAsia="en-US"/>
              </w:rPr>
              <w:t xml:space="preserve">ST, </w:t>
            </w:r>
            <w:r w:rsidRPr="00C03A74">
              <w:rPr>
                <w:rFonts w:ascii="Arial Narrow" w:eastAsia="Liberation Sans Narrow" w:hAnsi="Arial Narrow" w:cs="Liberation Sans Narrow"/>
                <w:lang w:eastAsia="en-US"/>
              </w:rPr>
              <w:t xml:space="preserve">arytmia, SpO2, </w:t>
            </w:r>
            <w:r w:rsidRPr="00C03A74">
              <w:rPr>
                <w:rFonts w:ascii="Arial Narrow" w:eastAsia="Liberation Sans Narrow" w:hAnsi="Arial Narrow" w:cs="Liberation Sans Narrow"/>
                <w:spacing w:val="-4"/>
                <w:lang w:eastAsia="en-US"/>
              </w:rPr>
              <w:t xml:space="preserve">NIBP, </w:t>
            </w:r>
            <w:r w:rsidRPr="00C03A74">
              <w:rPr>
                <w:rFonts w:ascii="Arial Narrow" w:eastAsia="Liberation Sans Narrow" w:hAnsi="Arial Narrow" w:cs="Liberation Sans Narrow"/>
                <w:lang w:eastAsia="en-US"/>
              </w:rPr>
              <w:t xml:space="preserve">4x </w:t>
            </w:r>
            <w:r w:rsidRPr="00C03A74">
              <w:rPr>
                <w:rFonts w:ascii="Arial Narrow" w:eastAsia="Liberation Sans Narrow" w:hAnsi="Arial Narrow" w:cs="Liberation Sans Narrow"/>
                <w:spacing w:val="-6"/>
                <w:lang w:eastAsia="en-US"/>
              </w:rPr>
              <w:t xml:space="preserve">IBP, </w:t>
            </w:r>
            <w:r w:rsidRPr="00C03A74">
              <w:rPr>
                <w:rFonts w:ascii="Arial Narrow" w:eastAsia="Liberation Sans Narrow" w:hAnsi="Arial Narrow" w:cs="Liberation Sans Narrow"/>
                <w:lang w:eastAsia="en-US"/>
              </w:rPr>
              <w:t xml:space="preserve">2x </w:t>
            </w:r>
            <w:r w:rsidRPr="00C03A74">
              <w:rPr>
                <w:rFonts w:ascii="Arial Narrow" w:eastAsia="Liberation Sans Narrow" w:hAnsi="Arial Narrow" w:cs="Liberation Sans Narrow"/>
                <w:spacing w:val="-5"/>
                <w:lang w:eastAsia="en-US"/>
              </w:rPr>
              <w:t xml:space="preserve">Temp, </w:t>
            </w:r>
            <w:r w:rsidRPr="00C03A74">
              <w:rPr>
                <w:rFonts w:ascii="Arial Narrow" w:eastAsia="Liberation Sans Narrow" w:hAnsi="Arial Narrow" w:cs="Liberation Sans Narrow"/>
                <w:lang w:eastAsia="en-US"/>
              </w:rPr>
              <w:t>CO2 w strumieniu bocznym, bez żadnych przerw związanych z rozpoczynaniem i kończeniem transportu, bez konieczności wymiany modułów pomiarowych i układów pacjenta na czas transport, zapewniający ciągłość trendów monitorowanych parametrów w module transportowym i kardiomonitorze głównym oraz zdarzeń alarmowych sprzed, w trakcie i po transporcie.</w:t>
            </w:r>
          </w:p>
          <w:p w:rsidR="00C03A74" w:rsidRPr="00C03A74" w:rsidRDefault="00C03A74" w:rsidP="00C03A74">
            <w:pPr>
              <w:widowControl w:val="0"/>
              <w:autoSpaceDE w:val="0"/>
              <w:autoSpaceDN w:val="0"/>
              <w:spacing w:before="141" w:line="254"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ind w:right="83"/>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monitor wyposażony w moduł transportowy o potencjalnej możliwości nieprzerwanego monitorowania: EKG, Resp, </w:t>
            </w:r>
            <w:r w:rsidRPr="00C03A74">
              <w:rPr>
                <w:rFonts w:ascii="Arial Narrow" w:eastAsia="Liberation Sans Narrow" w:hAnsi="Arial Narrow" w:cs="Liberation Sans Narrow"/>
                <w:spacing w:val="-7"/>
                <w:lang w:eastAsia="en-US"/>
              </w:rPr>
              <w:t xml:space="preserve">ST, QT, </w:t>
            </w:r>
            <w:r w:rsidRPr="00C03A74">
              <w:rPr>
                <w:rFonts w:ascii="Arial Narrow" w:eastAsia="Liberation Sans Narrow" w:hAnsi="Arial Narrow" w:cs="Liberation Sans Narrow"/>
                <w:lang w:eastAsia="en-US"/>
              </w:rPr>
              <w:t xml:space="preserve">arytmia, SpO2, </w:t>
            </w:r>
            <w:r w:rsidRPr="00C03A74">
              <w:rPr>
                <w:rFonts w:ascii="Arial Narrow" w:eastAsia="Liberation Sans Narrow" w:hAnsi="Arial Narrow" w:cs="Liberation Sans Narrow"/>
                <w:spacing w:val="-4"/>
                <w:lang w:eastAsia="en-US"/>
              </w:rPr>
              <w:t xml:space="preserve">NIBP, </w:t>
            </w:r>
            <w:r w:rsidRPr="00C03A74">
              <w:rPr>
                <w:rFonts w:ascii="Arial Narrow" w:eastAsia="Liberation Sans Narrow" w:hAnsi="Arial Narrow" w:cs="Liberation Sans Narrow"/>
                <w:lang w:eastAsia="en-US"/>
              </w:rPr>
              <w:t xml:space="preserve">2x </w:t>
            </w:r>
            <w:r w:rsidRPr="00C03A74">
              <w:rPr>
                <w:rFonts w:ascii="Arial Narrow" w:eastAsia="Liberation Sans Narrow" w:hAnsi="Arial Narrow" w:cs="Liberation Sans Narrow"/>
                <w:spacing w:val="-6"/>
                <w:lang w:eastAsia="en-US"/>
              </w:rPr>
              <w:t xml:space="preserve">IBP, </w:t>
            </w:r>
            <w:r w:rsidRPr="00C03A74">
              <w:rPr>
                <w:rFonts w:ascii="Arial Narrow" w:eastAsia="Liberation Sans Narrow" w:hAnsi="Arial Narrow" w:cs="Liberation Sans Narrow"/>
                <w:lang w:eastAsia="en-US"/>
              </w:rPr>
              <w:t xml:space="preserve">2x </w:t>
            </w:r>
            <w:r w:rsidRPr="00C03A74">
              <w:rPr>
                <w:rFonts w:ascii="Arial Narrow" w:eastAsia="Liberation Sans Narrow" w:hAnsi="Arial Narrow" w:cs="Liberation Sans Narrow"/>
                <w:spacing w:val="-5"/>
                <w:lang w:eastAsia="en-US"/>
              </w:rPr>
              <w:t xml:space="preserve">Temp, </w:t>
            </w:r>
            <w:r w:rsidRPr="00C03A74">
              <w:rPr>
                <w:rFonts w:ascii="Arial Narrow" w:eastAsia="Liberation Sans Narrow" w:hAnsi="Arial Narrow" w:cs="Liberation Sans Narrow"/>
                <w:lang w:eastAsia="en-US"/>
              </w:rPr>
              <w:t>bez żadnych przerw związanych z rozpoczynaniem i kończeniem transportu, bez konieczności wymiany modułów pomiarowych i układów pacjenta na czas transport, zapewniający ciągłość trendów monitorowanych parametrów w module transportowym i kardiomonitorze głównym oraz zdarzeń alarmowych sprzed, w trakcie i po transporcie.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ind w:left="360"/>
              <w:rPr>
                <w:rFonts w:ascii="Arial Narrow" w:eastAsia="SimSun" w:hAnsi="Arial Narrow" w:cs="Arial"/>
                <w:kern w:val="3"/>
                <w:lang w:eastAsia="zh-CN"/>
              </w:rPr>
            </w:pPr>
            <w:r w:rsidRPr="00C03A74">
              <w:rPr>
                <w:rFonts w:ascii="Arial Narrow" w:eastAsia="SimSun" w:hAnsi="Arial Narrow" w:cs="Arial"/>
                <w:kern w:val="3"/>
                <w:lang w:eastAsia="zh-CN"/>
              </w:rPr>
              <w:t>Gazówka w aparacie , po co CO2</w:t>
            </w: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spacing w:after="160" w:line="254" w:lineRule="auto"/>
              <w:rPr>
                <w:rFonts w:ascii="Arial Narrow" w:eastAsia="SimSun" w:hAnsi="Arial Narrow" w:cs="Calibri"/>
                <w:kern w:val="3"/>
                <w:lang w:eastAsia="zh-CN"/>
              </w:rPr>
            </w:pPr>
            <w:r w:rsidRPr="00C03A74">
              <w:rPr>
                <w:rFonts w:ascii="Arial Narrow" w:eastAsia="SimSun" w:hAnsi="Arial Narrow" w:cs="Mangal"/>
                <w:kern w:val="3"/>
                <w:lang w:eastAsia="zh-CN"/>
              </w:rPr>
              <w:t>Przygotowanie monitora do transportu, rozpoczęcie i zakończenie transportu nie wymaga podłączania ani odłączania jakichkolwiek przewodów. Odłączenie i podłączenie modułu transportowego do części stacjonarnej monitora możliwe przy użyciu jednej ręki.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Masa modułu transportowego maksymalnie 2 kg, z ekranem i zasilaniem z wbudowanego akumulatora minimum przez 3 godziny ciągłego</w:t>
            </w:r>
          </w:p>
          <w:p w:rsidR="00C03A74" w:rsidRPr="00C03A74" w:rsidRDefault="00C03A74" w:rsidP="00C03A74">
            <w:pPr>
              <w:widowControl w:val="0"/>
              <w:autoSpaceDE w:val="0"/>
              <w:autoSpaceDN w:val="0"/>
              <w:spacing w:before="17"/>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monitorowania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umożliwia sterowanie pracą pompy do kontrpulsacji podczas transportu</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5"/>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spacing w:line="254" w:lineRule="auto"/>
              <w:ind w:left="72" w:right="14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wyposażony w ekran dotykowy o przekątnej  6 cali. Ekran pokazuje przynajmniej 3,5 sekundy przebiegów dynamicznych. Ekran dotykowy przystosowany do warunków transportowych: zabezpieczony przed nieoczekiwaną zmianą wyświetlanych informacji, a w szczególności przed reagowaniem na krótkie, przypadkowe dotknięcia i przesunięcia palcem i palcami po ekranie</w:t>
            </w:r>
          </w:p>
          <w:p w:rsidR="00C03A74" w:rsidRPr="00C03A74" w:rsidRDefault="00C03A74" w:rsidP="00C03A74">
            <w:pPr>
              <w:widowControl w:val="0"/>
              <w:autoSpaceDE w:val="0"/>
              <w:autoSpaceDN w:val="0"/>
              <w:spacing w:line="254" w:lineRule="auto"/>
              <w:ind w:left="72" w:right="14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spacing w:line="254" w:lineRule="auto"/>
              <w:ind w:left="72" w:right="14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wyposażony w ekran dotykowy o przekątnej 7 cali, o interfejsie użytkownika tożsamym z monitorem głównym, responsywny, umożliwiający obsługę gestów (przesuwanie palcem po ekranie w celu przełączania pomiędzy widokami), z możliwością zabezpieczenia przed przypadkową zmianą parametrów na ekranie poprzez tymczasowe zablokowanie ekranu dotykowego.</w:t>
            </w:r>
          </w:p>
          <w:p w:rsidR="00C03A74" w:rsidRPr="00C03A74" w:rsidRDefault="00C03A74" w:rsidP="00C03A74">
            <w:pPr>
              <w:widowControl w:val="0"/>
              <w:autoSpaceDE w:val="0"/>
              <w:autoSpaceDN w:val="0"/>
              <w:spacing w:line="254" w:lineRule="auto"/>
              <w:ind w:left="72" w:right="14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spacing w:line="254" w:lineRule="auto"/>
              <w:ind w:left="72" w:right="14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wyposażony w ekran dotykowy o przekątnej 5,5 cala, o wysokiej rozdzielczości 1280x720 pikseli, o interfejsie użytkownika tożsamym z monitorem głównym, responsywny, umożliwiający obsługę gestów (przesuwanie palcem po ekranie w celu przełączania pomiędzy widokami), z możliwością zabezpieczenia przed przypadkową zmianą parametrów na ekranie poprzez tymczasowe zablokowanie ekranu dotykowego.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line="256" w:lineRule="auto"/>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przystosowany do zagrożeń związanych z transportem, odporny na zachlapania (min. IPX3) i upadek z wysokości przynajmniej 0,9 metra, potwierdzone odpowiednimi deklaracjami producenta.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wyposażony w uchwyt do przenoszenia, bez konieczności odłączania go w przypadku podłączania modułu na</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stanowisku</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rozbudowy o połączenie bezprzewodowe (WiFi) z siecią centralnego monitorowania, uruchamiane samoczynnie bezpośrednio po zdjęciu modułu ze stanowiska pacjenta.</w:t>
            </w:r>
          </w:p>
          <w:p w:rsidR="00C03A74" w:rsidRPr="00C03A74" w:rsidRDefault="00C03A74" w:rsidP="00C03A74">
            <w:pPr>
              <w:widowControl w:val="0"/>
              <w:autoSpaceDE w:val="0"/>
              <w:autoSpaceDN w:val="0"/>
              <w:spacing w:line="256"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Transmisja bezprzewodowa WiFi zabezpieczona na poziomie przynajmniej WPA2-PSK lub równoważnym. Rozwiązania inne, niż oparte na standardach przemysłowych, nie będą akceptowane.</w:t>
            </w:r>
          </w:p>
          <w:p w:rsidR="00C03A74" w:rsidRPr="00C03A74" w:rsidRDefault="00C03A74" w:rsidP="00C03A74">
            <w:pPr>
              <w:widowControl w:val="0"/>
              <w:autoSpaceDE w:val="0"/>
              <w:autoSpaceDN w:val="0"/>
              <w:spacing w:line="226" w:lineRule="exact"/>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Rozbudowa o WiFi możliwa bez konieczności wysyłania monitora do serwisu. Funkcjonalność WiFi nie może zmienić wymiarów,</w:t>
            </w:r>
          </w:p>
          <w:p w:rsidR="00C03A74" w:rsidRPr="00C03A74" w:rsidRDefault="00C03A74" w:rsidP="00C03A74">
            <w:pPr>
              <w:widowControl w:val="0"/>
              <w:autoSpaceDE w:val="0"/>
              <w:autoSpaceDN w:val="0"/>
              <w:spacing w:before="16"/>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masy, ani odporności modułu na warunki zewnętrzne</w:t>
            </w:r>
          </w:p>
          <w:p w:rsidR="00C03A74" w:rsidRPr="00C03A74" w:rsidRDefault="00C03A74" w:rsidP="00C03A74">
            <w:pPr>
              <w:widowControl w:val="0"/>
              <w:autoSpaceDE w:val="0"/>
              <w:autoSpaceDN w:val="0"/>
              <w:spacing w:before="16"/>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before="16"/>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wyposażony we wbudowaną kartę wifi, która będzie umożliwiać rozbudowę o bezprzewodowe podłączenie do sieci centralnego monitorowania w przyszłości, w kolejnych wersjach oprogramowania urządzenia.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9" w:line="254" w:lineRule="auto"/>
              <w:ind w:right="19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Moduł transportowy, zamocowany na stanowisku, przesyła dane do systemu monitorowania przez łącze optyczne, </w:t>
            </w:r>
          </w:p>
          <w:p w:rsidR="00C03A74" w:rsidRPr="00C03A74" w:rsidRDefault="00C03A74" w:rsidP="00C03A74">
            <w:pPr>
              <w:widowControl w:val="0"/>
              <w:autoSpaceDE w:val="0"/>
              <w:autoSpaceDN w:val="0"/>
              <w:spacing w:before="139" w:line="254" w:lineRule="auto"/>
              <w:ind w:right="19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suppressAutoHyphens/>
              <w:autoSpaceDN w:val="0"/>
              <w:spacing w:after="160" w:line="254" w:lineRule="auto"/>
              <w:rPr>
                <w:rFonts w:ascii="Arial Narrow" w:eastAsia="SimSun" w:hAnsi="Arial Narrow" w:cs="Calibri"/>
                <w:kern w:val="3"/>
                <w:lang w:eastAsia="zh-CN"/>
              </w:rPr>
            </w:pPr>
            <w:r w:rsidRPr="00C03A74">
              <w:rPr>
                <w:rFonts w:ascii="Arial Narrow" w:eastAsia="SimSun" w:hAnsi="Arial Narrow" w:cs="Mangal"/>
                <w:kern w:val="3"/>
                <w:lang w:eastAsia="zh-CN"/>
              </w:rPr>
              <w:t>moduł transportowy, zamocowany na stanowisku, przesyła dane do systemu monitorowania pomiędzy modułem a stacją dokującą za pośrednictwem styków elektrycznych, które zostały przetestowane przez producenta i wytrzymują min.100.000podłączeń/odłączeń</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1" w:line="254" w:lineRule="auto"/>
              <w:ind w:right="5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przystosowany do mocowania z prawej i lewej strony stanowiska w taki sposób, że przewody łączące monitor z pacjentem są skierowane bezpośrednio w stronę pacjenta, z zachowaniem odpowiedniej widoczności ekranu. Automatyczny obrót zawartości ekranu o 180 stopni</w:t>
            </w:r>
          </w:p>
          <w:p w:rsidR="00C03A74" w:rsidRPr="00C03A74" w:rsidRDefault="00C03A74" w:rsidP="00C03A74">
            <w:pPr>
              <w:widowControl w:val="0"/>
              <w:autoSpaceDE w:val="0"/>
              <w:autoSpaceDN w:val="0"/>
              <w:spacing w:before="1" w:line="254" w:lineRule="auto"/>
              <w:ind w:right="5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before="1" w:line="254" w:lineRule="auto"/>
              <w:ind w:right="5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przystosowany zarówno do umieszczenia w stacji dokującej podłączonej do monitora stacjonarnego jak i miejscu parkingowym w monitorze stacjonarnym.</w:t>
            </w:r>
          </w:p>
          <w:p w:rsidR="00C03A74" w:rsidRPr="00C03A74" w:rsidRDefault="00C03A74" w:rsidP="00C03A74">
            <w:pPr>
              <w:widowControl w:val="0"/>
              <w:autoSpaceDE w:val="0"/>
              <w:autoSpaceDN w:val="0"/>
              <w:spacing w:before="1" w:line="254" w:lineRule="auto"/>
              <w:ind w:right="58"/>
              <w:rPr>
                <w:rFonts w:ascii="Arial Narrow" w:eastAsia="Liberation Sans Narrow" w:hAnsi="Arial Narrow" w:cs="Liberation Sans Narrow"/>
                <w:lang w:eastAsia="en-US"/>
              </w:rPr>
            </w:pP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zamocowany na stanowisku umożliwia jednoczesną, ciągłą obserwację danych na ekranie stacjonarnym i na ekranie modułu transportowego</w:t>
            </w:r>
          </w:p>
          <w:p w:rsidR="00C03A74" w:rsidRPr="00C03A74" w:rsidRDefault="00C03A74" w:rsidP="00C03A74">
            <w:pPr>
              <w:widowControl w:val="0"/>
              <w:autoSpaceDE w:val="0"/>
              <w:autoSpaceDN w:val="0"/>
              <w:spacing w:line="256"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spacing w:line="256"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moduł transportowy zamocowany na stanowisku umożliwia jednoczesną, tymczasową (po naciśnięciu w dowolnym miejscu ekranu modułu transportowego), obserwację danych na ekranie stacjonarnym i na ekranie modułu transportowego.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Możliwości monitorowania parametrów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6"/>
              <w:ind w:left="72"/>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Pomiar EKG</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76" w:line="256" w:lineRule="auto"/>
              <w:ind w:right="12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monitorowania oraz jednoczesnego wyświetlania odprowadzeń EKG: 1 (wybieranego przez użytkownika) z 3 elektrod, 7 z 5 elektrod, 8 z 6 elektrod oraz 12 z 10 elektrod, po zastosowaniu odpowiedniego przewodu pomiarowego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wyposażony we wbudowany filtr zakłóceń elektrochirurgicznych.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Monitorowanie odchylenia ST we wszystkich jednocześnie monitorowanych odprowadzeniach EKG</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Analiza arytmii zgłaszająca arytmie według przynajmniej 12 różnych definicji, z możliwością wprowadzenia zmian w poszczególnych definicjach, dotyczących liczby i częstości skurczów komorowych, oraz z możliwością zmiany poziomu poszczególnych alarmów arytmii, w zakresie: wysoki, średni, niski</w:t>
            </w:r>
          </w:p>
          <w:p w:rsidR="00C03A74" w:rsidRPr="00C03A74" w:rsidRDefault="00C03A74" w:rsidP="00C03A74">
            <w:pPr>
              <w:widowControl w:val="0"/>
              <w:autoSpaceDE w:val="0"/>
              <w:autoSpaceDN w:val="0"/>
              <w:spacing w:line="254"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line="254" w:lineRule="auto"/>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rozpoznawanie arytmii wg 21 definicji, z możliwością konfiguracji priorytetów poszczególnych arytmii w zakresie: Wyłączony, Informacyjny, Niski, Średni, Wysoki, z możliwością konfiguracji kryteriów dla Pauzy, V Tachy i SV Tachy.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1"/>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spacing w:before="1" w:line="254" w:lineRule="auto"/>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posiada możliwość diagnostycznego monitorowania EKG, z częstością próbkowania sygnału co najmniej 500 razy na sekundę</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Zakres pomiarowy częstości akcji serca 15 - 300 uderzeń na minutę lub 20- 300 uderzeń na minutę.</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34"/>
              <w:ind w:left="72"/>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Pomiar oddechu</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62" w:line="254" w:lineRule="auto"/>
              <w:ind w:right="58"/>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Monitorowanie oddechu metodą impedancyjną z elektrod EKG (wartości liczbowe i krzywa dynamiczna), z możliwością zmiany odprowadzenia wybranego do monitorowania (I albo II), bez konieczności przepinania przewodu EKG ani zmiany położenia elektrod na pacjencie.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9"/>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Ustawiany czas opóźnienia alarmu bezdechu w zakresie min. 10 - 30 sekund od ostatniego wykrytego oddechu</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Pomiar saturacji i tętna (SpO2)</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line="254" w:lineRule="auto"/>
              <w:ind w:right="25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Moduł pomiarowy SpO2 umożliwiający poprawne pomiary w warunkach niskiej perfuzji i artefaktów ruchowych algorytmem MasimorainbowSET, lub TruSignal. </w:t>
            </w:r>
          </w:p>
          <w:p w:rsidR="00C03A74" w:rsidRPr="00C03A74" w:rsidRDefault="00C03A74" w:rsidP="00C03A74">
            <w:pPr>
              <w:widowControl w:val="0"/>
              <w:autoSpaceDE w:val="0"/>
              <w:autoSpaceDN w:val="0"/>
              <w:ind w:right="255"/>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line="254" w:lineRule="auto"/>
              <w:ind w:right="25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Moduł pomiarowy SpO2 umożliwiający poprawne pomiary w warunkach niskiej perfuzji i artefaktów ruchowych algorytmem MasimoSET, </w:t>
            </w:r>
          </w:p>
          <w:p w:rsidR="00C03A74" w:rsidRPr="00C03A74" w:rsidRDefault="00C03A74" w:rsidP="00C03A74">
            <w:pPr>
              <w:widowControl w:val="0"/>
              <w:autoSpaceDE w:val="0"/>
              <w:autoSpaceDN w:val="0"/>
              <w:spacing w:line="254" w:lineRule="auto"/>
              <w:ind w:right="25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spacing w:line="254" w:lineRule="auto"/>
              <w:ind w:right="256"/>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Moduł pomiarowy SpO2 umożliwiający poprawne pomiary w warunkach niskiej perfuzji i artefaktów ruchowych algorytmem Nellcor OxiMax. </w:t>
            </w:r>
          </w:p>
          <w:p w:rsidR="00C03A74" w:rsidRPr="00C03A74" w:rsidRDefault="00C03A74" w:rsidP="00C03A74">
            <w:pPr>
              <w:widowControl w:val="0"/>
              <w:autoSpaceDE w:val="0"/>
              <w:autoSpaceDN w:val="0"/>
              <w:ind w:right="255"/>
              <w:rPr>
                <w:rFonts w:ascii="Arial Narrow" w:eastAsia="Liberation Sans Narrow" w:hAnsi="Arial Narrow" w:cs="Liberation Sans Narrow"/>
                <w:color w:val="FF0000"/>
                <w:highlight w:val="yellow"/>
                <w:lang w:eastAsia="en-US"/>
              </w:rPr>
            </w:pP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umożliwia podłączenie modułów pomiarowych saturacji opartych na różnych technologiach, przynajmniej: Masimo SET, Masimorainbow SET i Nellcor, również podczas transportu. Wymiana technologii pomiaru może być dokonana przez użytkownika</w:t>
            </w: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stacjonarny umożliwia podłączenie modułów pomiarowych saturacji opartych na różnych technologiach, przynajmniej: Masimo SET, i Nellcor OxiMax, również podczas transportu. Wymiana modułu może być dokonana przez użytkownika</w:t>
            </w:r>
          </w:p>
          <w:p w:rsidR="00C03A74" w:rsidRPr="00C03A74" w:rsidRDefault="00C03A74" w:rsidP="00C03A74">
            <w:pPr>
              <w:widowControl w:val="0"/>
              <w:autoSpaceDE w:val="0"/>
              <w:autoSpaceDN w:val="0"/>
              <w:spacing w:before="149" w:line="254" w:lineRule="auto"/>
              <w:rPr>
                <w:rFonts w:ascii="Arial Narrow" w:eastAsia="Liberation Sans Narrow" w:hAnsi="Arial Narrow" w:cs="Liberation Sans Narrow"/>
                <w:highlight w:val="yellow"/>
                <w:lang w:eastAsia="en-US"/>
              </w:rPr>
            </w:pP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umożliwia podłączenie drugiego toru pomiarowego saturacji, z wyświetlaniem różnicy saturacji mierzonej w dwóch torach lub bez prezentacji różnicy saturacji i bez możliwości opisania miejsca pomiaru w drugim torze . Możliwość zamiennego stosowania technologii Masimo SET i Nellcor w drugim torze, niezależnie od technologii wykorzystywanej w podstawowym torze.</w:t>
            </w: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opisania miejsca pomiaru w drugim torze za pomocą standardowych oznaczeń, przynajmniej 6 różnych oznaczeń do wyboru.</w:t>
            </w: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line="254" w:lineRule="auto"/>
              <w:rPr>
                <w:rFonts w:ascii="Arial Narrow" w:eastAsia="Liberation Sans Narrow" w:hAnsi="Arial Narrow" w:cs="Liberation Sans Narrow"/>
                <w:color w:val="FF0000"/>
                <w:highlight w:val="yellow"/>
                <w:lang w:eastAsia="en-US"/>
              </w:rPr>
            </w:pPr>
            <w:r w:rsidRPr="00C03A74">
              <w:rPr>
                <w:rFonts w:ascii="Arial Narrow" w:eastAsia="Liberation Sans Narrow" w:hAnsi="Arial Narrow" w:cs="Liberation Sans Narrow"/>
                <w:lang w:eastAsia="en-US"/>
              </w:rPr>
              <w:t>Monitor umożliwia podłączenie drugiego toru pomiarowego saturacji, z wyświetlaniem różnicy saturacji mierzonej w dwóch torach lub bez prezentacji różnicy saturacji i bez możliwości opisania miejsca pomiaru w drugim torze . Możliwość wyświetlania krzywych pletyzmograficznych z dwóch torów jednocześnie.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Nieinwazyjny pomiar ciśnienia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Pomiar ciśnienia tętniczego metodą nieinwazyjną, tryb pracy ręczny i automatyczny z programowaniem odstępów między pomiarami</w:t>
            </w:r>
          </w:p>
          <w:p w:rsidR="00C03A74" w:rsidRPr="00C03A74" w:rsidRDefault="00C03A74" w:rsidP="00C03A74">
            <w:pPr>
              <w:widowControl w:val="0"/>
              <w:autoSpaceDE w:val="0"/>
              <w:autoSpaceDN w:val="0"/>
              <w:spacing w:before="2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przynajmniej do 4 godzin</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8"/>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włączenia automatycznego blokowania alarmów saturacji podczas pomiaru saturacji i NIBP na tej samej kończynie. Dopuszcza się monitor bez funkcji blokowania alarmów SpO2 podczas pomiaru NIBP.</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left="72"/>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Inwazyjny pomiar ciśnienia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przypisania nazw do poszczególnych torów pomiarowych, powiązanych z miejscem pomiaru, łącznie przynajmniej 28</w:t>
            </w: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nazw. </w:t>
            </w: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przypisania nazw do poszczególnych torów pomiarowych, powiązanych z miejscem pomiaru, łącznie przynajmniej 11</w:t>
            </w:r>
          </w:p>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nazw, przypisanie nazwy automatycznie zmiania skalę pomiarową na odpowiednią do danego ciśnienia.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ind w:left="360"/>
              <w:rPr>
                <w:rFonts w:ascii="Arial Narrow" w:eastAsia="SimSun" w:hAnsi="Arial Narrow" w:cs="Arial"/>
                <w:kern w:val="3"/>
                <w:lang w:eastAsia="zh-CN"/>
              </w:rPr>
            </w:pPr>
            <w:r w:rsidRPr="00C03A74">
              <w:rPr>
                <w:rFonts w:ascii="Arial Narrow" w:eastAsia="SimSun" w:hAnsi="Arial Narrow" w:cs="Arial"/>
                <w:kern w:val="3"/>
                <w:lang w:eastAsia="zh-CN"/>
              </w:rPr>
              <w:t>13 nazw</w:t>
            </w: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p>
          <w:p w:rsidR="00C03A74" w:rsidRPr="00C03A74" w:rsidRDefault="00C03A74" w:rsidP="00C03A74">
            <w:pPr>
              <w:widowControl w:val="0"/>
              <w:autoSpaceDE w:val="0"/>
              <w:autoSpaceDN w:val="0"/>
              <w:spacing w:line="256" w:lineRule="auto"/>
              <w:ind w:right="35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może obsłużyć pomiar przynajmniej 8 ciśnień, również w transporcie lub przynajmniej 7 ciśnień, w tym 4 w trakcie transportu, bez konieczności przełączania linii pomiarowych do transportu.</w:t>
            </w:r>
          </w:p>
          <w:p w:rsidR="00C03A74" w:rsidRPr="00C03A74" w:rsidRDefault="00C03A74" w:rsidP="00C03A74">
            <w:pPr>
              <w:widowControl w:val="0"/>
              <w:autoSpaceDE w:val="0"/>
              <w:autoSpaceDN w:val="0"/>
              <w:spacing w:line="256" w:lineRule="auto"/>
              <w:ind w:right="35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lub</w:t>
            </w:r>
          </w:p>
          <w:p w:rsidR="00C03A74" w:rsidRPr="00C03A74" w:rsidRDefault="00C03A74" w:rsidP="00C03A74">
            <w:pPr>
              <w:widowControl w:val="0"/>
              <w:autoSpaceDE w:val="0"/>
              <w:autoSpaceDN w:val="0"/>
              <w:spacing w:line="256" w:lineRule="auto"/>
              <w:ind w:right="35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stacjonarny może obsłużyć pomiar do 8 ciśnień, monitor transportowy może obsłużyć 2 ciśnienia.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wyświetlania wszystkich mierzonych ciśnień w oddzielnych oknach oraz w jednym oknie ze wspólną skalą i z</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indywidualnymi skalami, na siatce i bez siatki, do wyboru przez użytkownika,</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lub </w:t>
            </w:r>
          </w:p>
          <w:p w:rsidR="00C03A74" w:rsidRPr="00C03A74" w:rsidRDefault="00C03A74" w:rsidP="00C03A74">
            <w:pPr>
              <w:widowControl w:val="0"/>
              <w:autoSpaceDE w:val="0"/>
              <w:autoSpaceDN w:val="0"/>
              <w:spacing w:before="18"/>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wyświetlania ciśnień w oddzielnych kanałach lub w jednym - powiększonym do wysokości max. 4 kanałów oknie, umożliwiający prezentację do 4 ciśnień jednocześnie ze wspólną skalą lub skalami indywidualnymi.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wyzerowania wszystkich ciśnień jednym poleceniem (np. przyciskiem)</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Pomiar temperatury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8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może obsłużyć pomiar przynajmniej 2 tory temperatury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Jednoczesne wyświetlanie 3 wartości temperatury: T1, T2 i ich różnicy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49"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przydzielania dodatkowych etykiet (oprócz 1, 2… lub a, b…) do poszczególnych torów pomiarowych temperatury, precyzujących miejsce dokonywania pomiaru, za pomocą standardowych etykiet, przynajmniej 11 różnych nazw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Pomiar CO2</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line="254" w:lineRule="auto"/>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Monitor posiada możliwość pomiaru CO2 w drogach oddechowych w strumieniu bocznym u pacjentów zaintubowanych i nie zaintubowanych, oraz możliwość pomiaru w strumieniu głównym, po podłączeniu odpowiedniego modułu, stacjonarnie i w transporcie, bez konieczności przełączania układu pomiarowego do transportu. Dopuszcza się brak możliwości pomiaru w strumieniu głównym.</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10"/>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W przypadku strumienia bocznego pomiar realizowany metodą małych przepływów, ok. 50 ml/min</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37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Pomiar zwiotczenia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line="254" w:lineRule="auto"/>
              <w:ind w:right="197"/>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Pomiar przewodnictwa nerwowo mięśniowego </w:t>
            </w:r>
          </w:p>
          <w:p w:rsidR="00C03A74" w:rsidRPr="00C03A74" w:rsidRDefault="00C03A74" w:rsidP="00C03A74">
            <w:pPr>
              <w:widowControl w:val="0"/>
              <w:autoSpaceDE w:val="0"/>
              <w:autoSpaceDN w:val="0"/>
              <w:spacing w:line="229" w:lineRule="exact"/>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Dostępne metody stymulacji, przynajmniej:</w:t>
            </w:r>
          </w:p>
          <w:p w:rsidR="00C03A74" w:rsidRPr="00C03A74" w:rsidRDefault="00C03A74" w:rsidP="00C03A74">
            <w:pPr>
              <w:widowControl w:val="0"/>
              <w:numPr>
                <w:ilvl w:val="0"/>
                <w:numId w:val="15"/>
              </w:numPr>
              <w:tabs>
                <w:tab w:val="left" w:pos="171"/>
              </w:tabs>
              <w:suppressAutoHyphens/>
              <w:autoSpaceDE w:val="0"/>
              <w:autoSpaceDN w:val="0"/>
              <w:spacing w:before="20" w:after="200" w:line="27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Train Of Four, obliczanie T1/T4 iTref/T4</w:t>
            </w:r>
          </w:p>
          <w:p w:rsidR="00C03A74" w:rsidRPr="00C03A74" w:rsidRDefault="00C03A74" w:rsidP="00C03A74">
            <w:pPr>
              <w:widowControl w:val="0"/>
              <w:numPr>
                <w:ilvl w:val="0"/>
                <w:numId w:val="15"/>
              </w:numPr>
              <w:tabs>
                <w:tab w:val="left" w:pos="171"/>
              </w:tabs>
              <w:suppressAutoHyphens/>
              <w:autoSpaceDE w:val="0"/>
              <w:autoSpaceDN w:val="0"/>
              <w:spacing w:before="17" w:after="200" w:line="27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TOF z ustawianymi odstępami automatycznych pomiarów</w:t>
            </w:r>
          </w:p>
          <w:p w:rsidR="00C03A74" w:rsidRPr="00C03A74" w:rsidRDefault="00C03A74" w:rsidP="00C03A74">
            <w:pPr>
              <w:widowControl w:val="0"/>
              <w:numPr>
                <w:ilvl w:val="0"/>
                <w:numId w:val="15"/>
              </w:numPr>
              <w:tabs>
                <w:tab w:val="left" w:pos="171"/>
              </w:tabs>
              <w:suppressAutoHyphens/>
              <w:autoSpaceDE w:val="0"/>
              <w:autoSpaceDN w:val="0"/>
              <w:spacing w:before="18" w:after="200" w:line="276"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spacing w:val="-4"/>
                <w:lang w:eastAsia="en-US"/>
              </w:rPr>
              <w:t xml:space="preserve">Tetanus </w:t>
            </w:r>
            <w:r w:rsidRPr="00C03A74">
              <w:rPr>
                <w:rFonts w:ascii="Arial Narrow" w:eastAsia="Liberation Sans Narrow" w:hAnsi="Arial Narrow" w:cs="Liberation Sans Narrow"/>
                <w:lang w:eastAsia="en-US"/>
              </w:rPr>
              <w:t>50Hz</w:t>
            </w:r>
          </w:p>
          <w:p w:rsidR="00C03A74" w:rsidRPr="00C03A74" w:rsidRDefault="00C03A74" w:rsidP="00C03A74">
            <w:pPr>
              <w:widowControl w:val="0"/>
              <w:numPr>
                <w:ilvl w:val="0"/>
                <w:numId w:val="15"/>
              </w:numPr>
              <w:tabs>
                <w:tab w:val="left" w:pos="173"/>
              </w:tabs>
              <w:suppressAutoHyphens/>
              <w:autoSpaceDE w:val="0"/>
              <w:autoSpaceDN w:val="0"/>
              <w:spacing w:before="18" w:after="200" w:line="276" w:lineRule="auto"/>
              <w:ind w:left="173" w:hanging="10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 xml:space="preserve">SingleTwitch </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line="254" w:lineRule="auto"/>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Pomiar za pomocą zewnętrznego urządzenia, przekazującego wyniki pomiarów do oferowanego kardiomonitora lub z wykorzystaniem modułu oferowanego kardiomonitora. Wyniki pomiarów NMT wyświetlane na ekranie oferowanego monitora pacjenta.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pomiarów przewodnictwa nerwowo mięśniowego u dorosłych, poprzez zastosowanie odopowiedniego czujnika.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Możliwość stosowania czujników jednorazowych lub czujników wielorazowych.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Pomiar jakości znieczulenia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Pomiar głębokości uśpienia metodą BIS lub Entropii, z wykorzystaniem modułu oferowanego kardiomonitora lub urządzenia zewnętrznego.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Pomiar głębokości analgezji metodą SPI lub ANI, z wykorzystaniem modułu oferowanego kardiomonitora lub urządzenia zewnętrznego.</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left="72"/>
              <w:rPr>
                <w:rFonts w:ascii="Arial Narrow" w:eastAsia="Liberation Sans Narrow" w:hAnsi="Arial Narrow" w:cs="Liberation Sans Narrow"/>
                <w:b/>
                <w:lang w:eastAsia="en-US"/>
              </w:rPr>
            </w:pPr>
            <w:r w:rsidRPr="00C03A74">
              <w:rPr>
                <w:rFonts w:ascii="Arial Narrow" w:eastAsia="Liberation Sans Narrow" w:hAnsi="Arial Narrow" w:cs="Liberation Sans Narrow"/>
                <w:b/>
                <w:lang w:eastAsia="en-US"/>
              </w:rPr>
              <w:t>Wymagane akcesoria pomiarowe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Przewód EKG do podłączenia 3 elektrod, długość przynajmniej 3 metry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ind w:left="72"/>
              <w:rPr>
                <w:rFonts w:ascii="Arial Narrow" w:eastAsia="Liberation Sans Narrow" w:hAnsi="Arial Narrow" w:cs="Liberation Sans Narrow"/>
                <w:color w:val="FF0000"/>
                <w:lang w:eastAsia="en-US"/>
              </w:rPr>
            </w:pPr>
            <w:r w:rsidRPr="00C03A74">
              <w:rPr>
                <w:rFonts w:ascii="Arial Narrow" w:eastAsia="Liberation Sans Narrow" w:hAnsi="Arial Narrow" w:cs="Liberation Sans Narrow"/>
                <w:lang w:eastAsia="en-US"/>
              </w:rPr>
              <w:t>Czujnik SpO2 dla dorosłych na palec, z przewodem min. 2,5 metra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autoSpaceDE w:val="0"/>
              <w:autoSpaceDN w:val="0"/>
              <w:spacing w:before="186" w:line="254" w:lineRule="auto"/>
              <w:ind w:right="469"/>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Mankiety do pomiaru ciśnienia metodą nieinwazyjną, umożliwiające pomiary u pacjentów o przeciętnym wzroście, szczupłych i otyłych – 3 wielorazowe mankiety pomiarowe w 3 różnych rozmiarach. Przewód łączący mankiet z monitorem o długości przynajmniej 3 metrów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10"/>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Czujnik temperatury skóry, z przewodem min. 3 metry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411"/>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autoSpaceDE w:val="0"/>
              <w:autoSpaceDN w:val="0"/>
              <w:spacing w:before="8"/>
              <w:rPr>
                <w:rFonts w:ascii="Arial Narrow" w:eastAsia="Liberation Sans Narrow" w:hAnsi="Arial Narrow" w:cs="Liberation Sans Narrow"/>
                <w:b/>
                <w:lang w:eastAsia="en-US"/>
              </w:rPr>
            </w:pPr>
          </w:p>
          <w:p w:rsidR="00C03A74" w:rsidRPr="00C03A74" w:rsidRDefault="00C03A74" w:rsidP="00C03A74">
            <w:pPr>
              <w:widowControl w:val="0"/>
              <w:autoSpaceDE w:val="0"/>
              <w:autoSpaceDN w:val="0"/>
              <w:ind w:left="72"/>
              <w:rPr>
                <w:rFonts w:ascii="Arial Narrow" w:eastAsia="Liberation Sans Narrow" w:hAnsi="Arial Narrow" w:cs="Liberation Sans Narrow"/>
                <w:lang w:eastAsia="en-US"/>
              </w:rPr>
            </w:pPr>
            <w:r w:rsidRPr="00C03A74">
              <w:rPr>
                <w:rFonts w:ascii="Arial Narrow" w:eastAsia="Liberation Sans Narrow" w:hAnsi="Arial Narrow" w:cs="Liberation Sans Narrow"/>
                <w:lang w:eastAsia="en-US"/>
              </w:rPr>
              <w:t>Akcesoria do pomiaru ciśnienia metodą inwazyjną przynajmniej w 2 torach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kern w:val="3"/>
                <w:lang w:eastAsia="zh-CN"/>
              </w:rPr>
            </w:pPr>
            <w:r w:rsidRPr="00C03A74">
              <w:rPr>
                <w:rFonts w:ascii="Arial Narrow" w:eastAsia="SimSun" w:hAnsi="Arial Narrow" w:cs="Ari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285"/>
          <w:jc w:val="center"/>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b/>
                <w:kern w:val="3"/>
                <w:lang w:eastAsia="zh-CN"/>
              </w:rPr>
            </w:pPr>
            <w:bookmarkStart w:id="0" w:name="_Hlk481595046"/>
            <w:r w:rsidRPr="00C03A74">
              <w:rPr>
                <w:rFonts w:ascii="Arial Narrow" w:eastAsia="SimSun" w:hAnsi="Arial Narrow" w:cs="Arial"/>
                <w:b/>
                <w:kern w:val="3"/>
                <w:lang w:eastAsia="zh-CN"/>
              </w:rPr>
              <w:t>Inne wymagania</w:t>
            </w:r>
          </w:p>
        </w:tc>
      </w:tr>
      <w:tr w:rsidR="00C03A74" w:rsidRPr="00C03A74" w:rsidTr="00C03A74">
        <w:trPr>
          <w:cantSplit/>
          <w:trHeight w:val="32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auto"/>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rPr>
                <w:rFonts w:ascii="Arial Narrow" w:eastAsia="SimSun" w:hAnsi="Arial Narrow" w:cs="Arial"/>
                <w:kern w:val="3"/>
                <w:lang w:eastAsia="zh-CN"/>
              </w:rPr>
            </w:pPr>
            <w:r w:rsidRPr="00C03A74">
              <w:rPr>
                <w:rFonts w:ascii="Arial Narrow" w:eastAsia="SimSun" w:hAnsi="Arial Narrow" w:cs="Arial"/>
                <w:spacing w:val="-1"/>
                <w:kern w:val="3"/>
                <w:lang w:eastAsia="zh-CN"/>
              </w:rPr>
              <w:t>Urządzenia fabrycznie nowe, rok produkcji 2022.</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32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single" w:sz="4" w:space="0" w:color="auto"/>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rPr>
                <w:rFonts w:ascii="Arial Narrow" w:eastAsia="SimSun" w:hAnsi="Arial Narrow" w:cs="Arial"/>
                <w:kern w:val="3"/>
                <w:lang w:eastAsia="zh-CN"/>
              </w:rPr>
            </w:pPr>
            <w:r w:rsidRPr="00C03A74">
              <w:rPr>
                <w:rFonts w:ascii="Arial Narrow" w:eastAsia="SimSun" w:hAnsi="Arial Narrow" w:cs="Arial"/>
                <w:kern w:val="3"/>
                <w:lang w:eastAsia="zh-CN"/>
              </w:rPr>
              <w:t>Instrukcja</w:t>
            </w:r>
            <w:r w:rsidRPr="00C03A74">
              <w:rPr>
                <w:rFonts w:ascii="Arial Narrow" w:hAnsi="Arial Narrow" w:cs="Arial"/>
                <w:kern w:val="3"/>
                <w:lang w:eastAsia="zh-CN"/>
              </w:rPr>
              <w:t xml:space="preserve"> </w:t>
            </w:r>
            <w:r w:rsidRPr="00C03A74">
              <w:rPr>
                <w:rFonts w:ascii="Arial Narrow" w:eastAsia="SimSun" w:hAnsi="Arial Narrow" w:cs="Arial"/>
                <w:kern w:val="3"/>
                <w:lang w:eastAsia="zh-CN"/>
              </w:rPr>
              <w:t>obsługi</w:t>
            </w:r>
            <w:r w:rsidRPr="00C03A74">
              <w:rPr>
                <w:rFonts w:ascii="Arial Narrow" w:hAnsi="Arial Narrow" w:cs="Arial"/>
                <w:kern w:val="3"/>
                <w:lang w:eastAsia="zh-CN"/>
              </w:rPr>
              <w:t xml:space="preserve"> </w:t>
            </w:r>
            <w:r w:rsidRPr="00C03A74">
              <w:rPr>
                <w:rFonts w:ascii="Arial Narrow" w:eastAsia="SimSun" w:hAnsi="Arial Narrow" w:cs="Arial"/>
                <w:kern w:val="3"/>
                <w:lang w:eastAsia="zh-CN"/>
              </w:rPr>
              <w:t>przedmiotu</w:t>
            </w:r>
            <w:r w:rsidRPr="00C03A74">
              <w:rPr>
                <w:rFonts w:ascii="Arial Narrow" w:hAnsi="Arial Narrow" w:cs="Arial"/>
                <w:kern w:val="3"/>
                <w:lang w:eastAsia="zh-CN"/>
              </w:rPr>
              <w:t xml:space="preserve"> </w:t>
            </w:r>
            <w:r w:rsidRPr="00C03A74">
              <w:rPr>
                <w:rFonts w:ascii="Arial Narrow" w:eastAsia="SimSun" w:hAnsi="Arial Narrow" w:cs="Arial"/>
                <w:kern w:val="3"/>
                <w:lang w:eastAsia="zh-CN"/>
              </w:rPr>
              <w:t>oferty</w:t>
            </w:r>
            <w:r w:rsidRPr="00C03A74">
              <w:rPr>
                <w:rFonts w:ascii="Arial Narrow" w:hAnsi="Arial Narrow" w:cs="Arial"/>
                <w:kern w:val="3"/>
                <w:lang w:eastAsia="zh-CN"/>
              </w:rPr>
              <w:t xml:space="preserve"> </w:t>
            </w:r>
            <w:r w:rsidRPr="00C03A74">
              <w:rPr>
                <w:rFonts w:ascii="Arial Narrow" w:eastAsia="SimSun" w:hAnsi="Arial Narrow" w:cs="Arial"/>
                <w:kern w:val="3"/>
                <w:lang w:eastAsia="zh-CN"/>
              </w:rPr>
              <w:t>w</w:t>
            </w:r>
            <w:r w:rsidRPr="00C03A74">
              <w:rPr>
                <w:rFonts w:ascii="Arial Narrow" w:hAnsi="Arial Narrow" w:cs="Arial"/>
                <w:kern w:val="3"/>
                <w:lang w:eastAsia="zh-CN"/>
              </w:rPr>
              <w:t xml:space="preserve"> </w:t>
            </w:r>
            <w:r w:rsidRPr="00C03A74">
              <w:rPr>
                <w:rFonts w:ascii="Arial Narrow" w:eastAsia="SimSun" w:hAnsi="Arial Narrow" w:cs="Arial"/>
                <w:kern w:val="3"/>
                <w:lang w:eastAsia="zh-CN"/>
              </w:rPr>
              <w:t>języku</w:t>
            </w:r>
            <w:r w:rsidRPr="00C03A74">
              <w:rPr>
                <w:rFonts w:ascii="Arial Narrow" w:hAnsi="Arial Narrow" w:cs="Arial"/>
                <w:kern w:val="3"/>
                <w:lang w:eastAsia="zh-CN"/>
              </w:rPr>
              <w:t xml:space="preserve"> </w:t>
            </w:r>
            <w:r w:rsidRPr="00C03A74">
              <w:rPr>
                <w:rFonts w:ascii="Arial Narrow" w:eastAsia="SimSun" w:hAnsi="Arial Narrow" w:cs="Arial"/>
                <w:kern w:val="3"/>
                <w:lang w:eastAsia="zh-CN"/>
              </w:rPr>
              <w:t>polskim (1szt. papierowa dostarczona wraz dostawą i 1szt. w wersji elektronicznej dołączona do oferty).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32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rPr>
                <w:rFonts w:ascii="Arial Narrow" w:eastAsia="SimSun" w:hAnsi="Arial Narrow" w:cs="Arial"/>
                <w:kern w:val="3"/>
                <w:lang w:eastAsia="zh-CN"/>
              </w:rPr>
            </w:pPr>
            <w:r w:rsidRPr="00C03A74">
              <w:rPr>
                <w:rFonts w:ascii="Arial Narrow" w:eastAsia="SimSun" w:hAnsi="Arial Narrow" w:cs="Arial"/>
                <w:spacing w:val="-1"/>
                <w:kern w:val="3"/>
                <w:lang w:eastAsia="zh-CN"/>
              </w:rPr>
              <w:t>D</w:t>
            </w:r>
            <w:r w:rsidRPr="00C03A74">
              <w:rPr>
                <w:rFonts w:ascii="Arial Narrow" w:eastAsia="SimSun" w:hAnsi="Arial Narrow" w:cs="Arial"/>
                <w:spacing w:val="-2"/>
                <w:kern w:val="3"/>
                <w:lang w:eastAsia="zh-CN"/>
              </w:rPr>
              <w:t>e</w:t>
            </w:r>
            <w:r w:rsidRPr="00C03A74">
              <w:rPr>
                <w:rFonts w:ascii="Arial Narrow" w:eastAsia="SimSun" w:hAnsi="Arial Narrow" w:cs="Arial"/>
                <w:spacing w:val="2"/>
                <w:kern w:val="3"/>
                <w:lang w:eastAsia="zh-CN"/>
              </w:rPr>
              <w:t>k</w:t>
            </w:r>
            <w:r w:rsidRPr="00C03A74">
              <w:rPr>
                <w:rFonts w:ascii="Arial Narrow" w:eastAsia="SimSun" w:hAnsi="Arial Narrow" w:cs="Arial"/>
                <w:spacing w:val="-1"/>
                <w:kern w:val="3"/>
                <w:lang w:eastAsia="zh-CN"/>
              </w:rPr>
              <w:t>l</w:t>
            </w:r>
            <w:r w:rsidRPr="00C03A74">
              <w:rPr>
                <w:rFonts w:ascii="Arial Narrow" w:eastAsia="SimSun" w:hAnsi="Arial Narrow" w:cs="Arial"/>
                <w:kern w:val="3"/>
                <w:lang w:eastAsia="zh-CN"/>
              </w:rPr>
              <w:t>a</w:t>
            </w:r>
            <w:r w:rsidRPr="00C03A74">
              <w:rPr>
                <w:rFonts w:ascii="Arial Narrow" w:eastAsia="SimSun" w:hAnsi="Arial Narrow" w:cs="Arial"/>
                <w:spacing w:val="-1"/>
                <w:kern w:val="3"/>
                <w:lang w:eastAsia="zh-CN"/>
              </w:rPr>
              <w:t>r</w:t>
            </w:r>
            <w:r w:rsidRPr="00C03A74">
              <w:rPr>
                <w:rFonts w:ascii="Arial Narrow" w:eastAsia="SimSun" w:hAnsi="Arial Narrow" w:cs="Arial"/>
                <w:kern w:val="3"/>
                <w:lang w:eastAsia="zh-CN"/>
              </w:rPr>
              <w:t>ac</w:t>
            </w:r>
            <w:r w:rsidRPr="00C03A74">
              <w:rPr>
                <w:rFonts w:ascii="Arial Narrow" w:eastAsia="SimSun" w:hAnsi="Arial Narrow" w:cs="Arial"/>
                <w:spacing w:val="1"/>
                <w:kern w:val="3"/>
                <w:lang w:eastAsia="zh-CN"/>
              </w:rPr>
              <w:t>ja</w:t>
            </w:r>
            <w:r w:rsidRPr="00C03A74">
              <w:rPr>
                <w:rFonts w:ascii="Arial Narrow" w:eastAsia="SimSun" w:hAnsi="Arial Narrow" w:cs="Arial"/>
                <w:spacing w:val="-1"/>
                <w:kern w:val="3"/>
                <w:lang w:eastAsia="zh-CN"/>
              </w:rPr>
              <w:t>(</w:t>
            </w:r>
            <w:r w:rsidRPr="00C03A74">
              <w:rPr>
                <w:rFonts w:ascii="Arial Narrow" w:eastAsia="SimSun" w:hAnsi="Arial Narrow" w:cs="Arial"/>
                <w:spacing w:val="-2"/>
                <w:kern w:val="3"/>
                <w:lang w:eastAsia="zh-CN"/>
              </w:rPr>
              <w:t>e</w:t>
            </w:r>
            <w:r w:rsidRPr="00C03A74">
              <w:rPr>
                <w:rFonts w:ascii="Arial Narrow" w:eastAsia="SimSun" w:hAnsi="Arial Narrow" w:cs="Arial"/>
                <w:kern w:val="3"/>
                <w:lang w:eastAsia="zh-CN"/>
              </w:rPr>
              <w:t xml:space="preserve">) </w:t>
            </w:r>
            <w:r w:rsidRPr="00C03A74">
              <w:rPr>
                <w:rFonts w:ascii="Arial Narrow" w:eastAsia="SimSun" w:hAnsi="Arial Narrow" w:cs="Arial"/>
                <w:spacing w:val="-2"/>
                <w:kern w:val="3"/>
                <w:lang w:eastAsia="zh-CN"/>
              </w:rPr>
              <w:t>z</w:t>
            </w:r>
            <w:r w:rsidRPr="00C03A74">
              <w:rPr>
                <w:rFonts w:ascii="Arial Narrow" w:eastAsia="SimSun" w:hAnsi="Arial Narrow" w:cs="Arial"/>
                <w:spacing w:val="-1"/>
                <w:kern w:val="3"/>
                <w:lang w:eastAsia="zh-CN"/>
              </w:rPr>
              <w:t>go</w:t>
            </w:r>
            <w:r w:rsidRPr="00C03A74">
              <w:rPr>
                <w:rFonts w:ascii="Arial Narrow" w:eastAsia="SimSun" w:hAnsi="Arial Narrow" w:cs="Arial"/>
                <w:spacing w:val="1"/>
                <w:kern w:val="3"/>
                <w:lang w:eastAsia="zh-CN"/>
              </w:rPr>
              <w:t>dn</w:t>
            </w:r>
            <w:r w:rsidRPr="00C03A74">
              <w:rPr>
                <w:rFonts w:ascii="Arial Narrow" w:eastAsia="SimSun" w:hAnsi="Arial Narrow" w:cs="Arial"/>
                <w:spacing w:val="-1"/>
                <w:kern w:val="3"/>
                <w:lang w:eastAsia="zh-CN"/>
              </w:rPr>
              <w:t>o</w:t>
            </w:r>
            <w:r w:rsidRPr="00C03A74">
              <w:rPr>
                <w:rFonts w:ascii="Arial Narrow" w:eastAsia="SimSun" w:hAnsi="Arial Narrow" w:cs="Arial"/>
                <w:kern w:val="3"/>
                <w:lang w:eastAsia="zh-CN"/>
              </w:rPr>
              <w:t xml:space="preserve">ści </w:t>
            </w:r>
            <w:r w:rsidRPr="00C03A74">
              <w:rPr>
                <w:rFonts w:ascii="Arial Narrow" w:eastAsia="SimSun" w:hAnsi="Arial Narrow" w:cs="Arial"/>
                <w:spacing w:val="1"/>
                <w:kern w:val="3"/>
                <w:lang w:eastAsia="zh-CN"/>
              </w:rPr>
              <w:t>C</w:t>
            </w:r>
            <w:r w:rsidRPr="00C03A74">
              <w:rPr>
                <w:rFonts w:ascii="Arial Narrow" w:eastAsia="SimSun" w:hAnsi="Arial Narrow" w:cs="Arial"/>
                <w:kern w:val="3"/>
                <w:lang w:eastAsia="zh-CN"/>
              </w:rPr>
              <w:t>E.</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603"/>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cs="Arial"/>
                <w:kern w:val="3"/>
                <w:lang w:eastAsia="zh-CN"/>
              </w:rPr>
            </w:pPr>
            <w:r w:rsidRPr="00C03A74">
              <w:rPr>
                <w:rFonts w:ascii="Arial Narrow" w:eastAsia="SimSun" w:hAnsi="Arial Narrow" w:cs="Arial"/>
                <w:kern w:val="3"/>
                <w:lang w:eastAsia="zh-CN"/>
              </w:rPr>
              <w:t>Oświadczamy,</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że</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przedmiot</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oferty</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jest</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kompletny</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i</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będzie</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gotowy</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do</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pracy</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zgodnie</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z</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instrukcją</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obsługi</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bez</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żadnych</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dodatkowych</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zakupów.</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835"/>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snapToGrid w:val="0"/>
              <w:rPr>
                <w:rFonts w:ascii="Arial Narrow" w:eastAsia="SimSun" w:hAnsi="Arial Narrow" w:cs="Arial"/>
                <w:kern w:val="3"/>
                <w:lang w:eastAsia="zh-CN"/>
              </w:rPr>
            </w:pPr>
            <w:r w:rsidRPr="00C03A74">
              <w:rPr>
                <w:rFonts w:ascii="Arial Narrow" w:eastAsia="SimSun" w:hAnsi="Arial Narrow" w:cs="Arial"/>
                <w:kern w:val="3"/>
                <w:lang w:eastAsia="zh-CN"/>
              </w:rPr>
              <w:t>Dostawca</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zobowiązuje</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się</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do:</w:t>
            </w:r>
          </w:p>
          <w:p w:rsidR="00C03A74" w:rsidRPr="00C03A74" w:rsidRDefault="00C03A74" w:rsidP="00C03A74">
            <w:pPr>
              <w:widowControl w:val="0"/>
              <w:suppressAutoHyphens/>
              <w:autoSpaceDN w:val="0"/>
              <w:rPr>
                <w:rFonts w:ascii="Arial Narrow" w:eastAsia="SimSun" w:hAnsi="Arial Narrow" w:cs="Arial"/>
                <w:kern w:val="3"/>
                <w:lang w:eastAsia="zh-CN"/>
              </w:rPr>
            </w:pPr>
            <w:r w:rsidRPr="00C03A74">
              <w:rPr>
                <w:rFonts w:ascii="Arial Narrow" w:eastAsia="SimSun" w:hAnsi="Arial Narrow" w:cs="Arial"/>
                <w:kern w:val="3"/>
                <w:lang w:eastAsia="zh-CN"/>
              </w:rPr>
              <w:t>-</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dokonania</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instalacji</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we</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wskazanym</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miejscu</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przez</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zamawiającego,</w:t>
            </w:r>
          </w:p>
          <w:p w:rsidR="00C03A74" w:rsidRPr="00C03A74" w:rsidRDefault="00C03A74" w:rsidP="00C03A74">
            <w:pPr>
              <w:widowControl w:val="0"/>
              <w:suppressAutoHyphens/>
              <w:autoSpaceDN w:val="0"/>
              <w:rPr>
                <w:rFonts w:ascii="Arial Narrow" w:eastAsia="SimSun" w:hAnsi="Arial Narrow" w:cs="Arial"/>
                <w:kern w:val="3"/>
                <w:lang w:eastAsia="zh-CN"/>
              </w:rPr>
            </w:pPr>
            <w:r w:rsidRPr="00C03A74">
              <w:rPr>
                <w:rFonts w:ascii="Arial Narrow" w:eastAsia="SimSun" w:hAnsi="Arial Narrow" w:cs="Arial"/>
                <w:kern w:val="3"/>
                <w:lang w:eastAsia="zh-CN"/>
              </w:rPr>
              <w:t>-</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dokonania</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szkolenia</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w</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zakresie</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obsługi</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przedmiotu</w:t>
            </w:r>
            <w:r w:rsidRPr="00C03A74">
              <w:rPr>
                <w:rFonts w:ascii="Arial Narrow" w:eastAsia="Arial Narrow" w:hAnsi="Arial Narrow" w:cs="Arial"/>
                <w:kern w:val="3"/>
                <w:lang w:eastAsia="zh-CN"/>
              </w:rPr>
              <w:t xml:space="preserve"> </w:t>
            </w:r>
            <w:r w:rsidRPr="00C03A74">
              <w:rPr>
                <w:rFonts w:ascii="Arial Narrow" w:eastAsia="SimSun" w:hAnsi="Arial Narrow" w:cs="Arial"/>
                <w:kern w:val="3"/>
                <w:lang w:eastAsia="zh-CN"/>
              </w:rPr>
              <w:t>zamówienia.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ind w:left="360"/>
              <w:rPr>
                <w:rFonts w:ascii="Arial Narrow" w:eastAsia="SimSun" w:hAnsi="Arial Narrow" w:cs="Arial"/>
                <w:kern w:val="3"/>
                <w:lang w:eastAsia="zh-CN"/>
              </w:rPr>
            </w:pPr>
          </w:p>
        </w:tc>
      </w:tr>
      <w:tr w:rsidR="00C03A74" w:rsidRPr="00C03A74" w:rsidTr="00C03A74">
        <w:trPr>
          <w:cantSplit/>
          <w:trHeight w:val="285"/>
          <w:jc w:val="center"/>
        </w:trPr>
        <w:tc>
          <w:tcPr>
            <w:tcW w:w="5000" w:type="pct"/>
            <w:gridSpan w:val="4"/>
            <w:tcBorders>
              <w:top w:val="single" w:sz="4" w:space="0" w:color="000000"/>
              <w:left w:val="single" w:sz="4" w:space="0" w:color="000000"/>
              <w:bottom w:val="single" w:sz="4" w:space="0" w:color="000000"/>
              <w:right w:val="single" w:sz="4" w:space="0" w:color="auto"/>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Arial"/>
                <w:b/>
                <w:kern w:val="3"/>
                <w:lang w:eastAsia="zh-CN"/>
              </w:rPr>
            </w:pPr>
            <w:r w:rsidRPr="00C03A74">
              <w:rPr>
                <w:rFonts w:ascii="Arial Narrow" w:eastAsia="SimSun" w:hAnsi="Arial Narrow" w:cs="Arial"/>
                <w:b/>
                <w:kern w:val="3"/>
                <w:lang w:eastAsia="zh-CN"/>
              </w:rPr>
              <w:t>Warunki gwarancji i serwisu</w:t>
            </w:r>
          </w:p>
        </w:tc>
      </w:tr>
      <w:bookmarkEnd w:id="0"/>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kern w:val="3"/>
                <w:lang w:eastAsia="zh-CN"/>
              </w:rPr>
            </w:pPr>
          </w:p>
          <w:p w:rsidR="00C03A74" w:rsidRPr="00C03A74" w:rsidRDefault="00C03A74" w:rsidP="00C03A74">
            <w:pPr>
              <w:widowControl w:val="0"/>
              <w:suppressAutoHyphens/>
              <w:autoSpaceDN w:val="0"/>
              <w:rPr>
                <w:rFonts w:ascii="Arial Narrow" w:eastAsia="SimSun" w:hAnsi="Arial Narrow"/>
                <w:kern w:val="3"/>
                <w:lang w:eastAsia="zh-CN"/>
              </w:rPr>
            </w:pPr>
            <w:r w:rsidRPr="00C03A74">
              <w:rPr>
                <w:rFonts w:ascii="Arial Narrow" w:eastAsia="SimSun" w:hAnsi="Arial Narrow"/>
                <w:kern w:val="3"/>
                <w:lang w:eastAsia="zh-CN"/>
              </w:rPr>
              <w:t>Gwarancja – min. 24 miesiące, max. 60 miesięcy</w:t>
            </w:r>
          </w:p>
          <w:p w:rsidR="00C03A74" w:rsidRPr="00C03A74" w:rsidRDefault="00C03A74" w:rsidP="00C03A74">
            <w:pPr>
              <w:widowControl w:val="0"/>
              <w:suppressAutoHyphens/>
              <w:autoSpaceDN w:val="0"/>
              <w:rPr>
                <w:rFonts w:ascii="Arial Narrow" w:eastAsia="SimSun" w:hAnsi="Arial Narrow"/>
                <w:kern w:val="3"/>
                <w:lang w:eastAsia="zh-CN"/>
              </w:rPr>
            </w:pPr>
          </w:p>
          <w:p w:rsidR="00C03A74" w:rsidRPr="00C03A74" w:rsidRDefault="00C03A74" w:rsidP="00C03A74">
            <w:pPr>
              <w:widowControl w:val="0"/>
              <w:suppressAutoHyphens/>
              <w:autoSpaceDN w:val="0"/>
              <w:rPr>
                <w:rFonts w:ascii="Arial Narrow" w:eastAsia="SimSun" w:hAnsi="Arial Narrow"/>
                <w:kern w:val="3"/>
                <w:lang w:eastAsia="zh-CN"/>
              </w:rPr>
            </w:pPr>
            <w:r w:rsidRPr="00C03A74">
              <w:rPr>
                <w:rFonts w:ascii="Arial Narrow" w:eastAsia="SimSun" w:hAnsi="Arial Narrow"/>
                <w:kern w:val="3"/>
                <w:lang w:eastAsia="zh-CN"/>
              </w:rPr>
              <w:t>Długość udzielanej gwarancji –  minimum 24 miesiące</w:t>
            </w:r>
          </w:p>
          <w:p w:rsidR="00C03A74" w:rsidRPr="00C03A74" w:rsidRDefault="00C03A74" w:rsidP="00C03A74">
            <w:pPr>
              <w:widowControl w:val="0"/>
              <w:suppressAutoHyphens/>
              <w:autoSpaceDN w:val="0"/>
              <w:rPr>
                <w:rFonts w:ascii="Arial Narrow" w:eastAsia="SimSun" w:hAnsi="Arial Narrow"/>
                <w:kern w:val="3"/>
                <w:lang w:eastAsia="zh-CN"/>
              </w:rPr>
            </w:pPr>
            <w:r w:rsidRPr="00C03A74">
              <w:rPr>
                <w:rFonts w:ascii="Arial Narrow" w:eastAsia="SimSun" w:hAnsi="Arial Narrow"/>
                <w:kern w:val="3"/>
                <w:lang w:eastAsia="zh-CN"/>
              </w:rPr>
              <w:t>maksymalnie 60 miesięcy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lang w:eastAsia="zh-CN"/>
              </w:rPr>
            </w:pPr>
            <w:r w:rsidRPr="00C03A74">
              <w:rPr>
                <w:rFonts w:ascii="Arial Narrow" w:eastAsia="SimSun" w:hAnsi="Arial Narrow"/>
                <w:kern w:val="3"/>
                <w:lang w:eastAsia="zh-CN"/>
              </w:rPr>
              <w:t>Autoryzowany serwis na terenie Polski.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lang w:eastAsia="zh-CN"/>
              </w:rPr>
            </w:pPr>
            <w:r w:rsidRPr="00C03A74">
              <w:rPr>
                <w:rFonts w:ascii="Arial Narrow" w:eastAsia="SimSun" w:hAnsi="Arial Narrow"/>
                <w:kern w:val="3"/>
              </w:rPr>
              <w:t>Czas reakcji serwisu na zgłoszenie z podjęciem naprawy (nie dłuższy niż 48h w dni robocze tj. od poniedziałku do piątku z wyłączeniem dni ustawowo wolnych od pracy) liczony od dnia zgłoszenia usterki.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lang w:eastAsia="zh-CN"/>
              </w:rPr>
            </w:pPr>
            <w:r w:rsidRPr="00C03A74">
              <w:rPr>
                <w:rFonts w:ascii="Arial Narrow" w:eastAsia="SimSun" w:hAnsi="Arial Narrow"/>
                <w:kern w:val="3"/>
                <w:lang w:eastAsia="zh-CN"/>
              </w:rPr>
              <w:t>Czas naprawy bez użycia części zamiennych (nie dłuższy niż 24 h) liczony od momentu podjęcia naprawy.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lang w:eastAsia="zh-CN"/>
              </w:rPr>
            </w:pPr>
            <w:r w:rsidRPr="00C03A74">
              <w:rPr>
                <w:rFonts w:ascii="Arial Narrow" w:eastAsia="SimSun" w:hAnsi="Arial Narrow"/>
                <w:kern w:val="3"/>
                <w:lang w:eastAsia="zh-CN"/>
              </w:rPr>
              <w:t>Czas naprawy z użyciem części zamiennych (nie dłuższy niż 48 h) liczony od momentu podjęcia naprawy</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lang w:eastAsia="zh-CN"/>
              </w:rPr>
            </w:pPr>
            <w:r w:rsidRPr="00C03A74">
              <w:rPr>
                <w:rFonts w:ascii="Arial Narrow" w:eastAsia="SimSun" w:hAnsi="Arial Narrow"/>
                <w:kern w:val="3"/>
                <w:lang w:eastAsia="zh-CN"/>
              </w:rPr>
              <w:t>Godziny i sposób przyjmowania zgłoszeń o awariach.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908"/>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rPr>
                <w:rFonts w:ascii="Arial Narrow" w:eastAsia="SimSun" w:hAnsi="Arial Narrow" w:cs="Arial"/>
                <w:kern w:val="3"/>
                <w:lang w:eastAsia="zh-CN"/>
              </w:rPr>
            </w:pPr>
            <w:r w:rsidRPr="00C03A74">
              <w:rPr>
                <w:rFonts w:ascii="Arial Narrow" w:eastAsia="SimSun" w:hAnsi="Arial Narrow" w:cs="Arial"/>
                <w:kern w:val="3"/>
                <w:lang w:eastAsia="zh-CN"/>
              </w:rPr>
              <w:t>Dostawca zobowiązany jest do wykonania obowiązkowych przeglądów technicznych w okresie obowiązywania gwarancji bez dodatkowej zapłaty, zgodnie z harmonogramem wymaganym przez producenta, ostatni z tych przeglądów w ostatnim miesiącu obowiązywania gwarancji.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highlight w:val="yellow"/>
                <w:lang w:eastAsia="zh-CN"/>
              </w:rPr>
            </w:pPr>
            <w:r w:rsidRPr="00C03A74">
              <w:rPr>
                <w:rFonts w:ascii="Arial Narrow" w:eastAsia="SimSun" w:hAnsi="Arial Narrow"/>
                <w:kern w:val="3"/>
                <w:lang w:eastAsia="zh-CN"/>
              </w:rPr>
              <w:t>Sprzęt zastępczy na czas naprawy przekraczający 7 dni kalendarzowych.</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lang w:eastAsia="zh-CN"/>
              </w:rPr>
            </w:pPr>
            <w:r w:rsidRPr="00C03A74">
              <w:rPr>
                <w:rFonts w:ascii="Arial Narrow" w:eastAsia="SimSun" w:hAnsi="Arial Narrow"/>
                <w:kern w:val="3"/>
                <w:lang w:eastAsia="zh-CN"/>
              </w:rPr>
              <w:t>Czas naprawy gwarancyjnej (nie więcej niż 7 dni kalendarzowych), po przekroczeniu którego przedłuża się gwarancję o 3-krotny czas przerwy w eksploatacji.</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lang w:eastAsia="zh-CN"/>
              </w:rPr>
            </w:pPr>
            <w:r w:rsidRPr="00C03A74">
              <w:rPr>
                <w:rFonts w:ascii="Arial Narrow" w:eastAsia="SimSun" w:hAnsi="Arial Narrow"/>
                <w:kern w:val="3"/>
              </w:rPr>
              <w:t>Liczba napraw gwarancyjnych tego samego podzespołu uprawniająca do wymiany tego podzespołu oraz podzespołów bezpośrednio mających wpływ na jego funkcjonowanie na nowe (nie więcej niż 3).</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r w:rsidR="00C03A74" w:rsidRPr="00C03A74" w:rsidTr="00C03A74">
        <w:trPr>
          <w:cantSplit/>
          <w:trHeight w:hRule="exact" w:val="499"/>
          <w:jc w:val="center"/>
        </w:trPr>
        <w:tc>
          <w:tcPr>
            <w:tcW w:w="159"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tcPr>
          <w:p w:rsidR="00C03A74" w:rsidRPr="00C03A74" w:rsidRDefault="00C03A74" w:rsidP="00C03A74">
            <w:pPr>
              <w:widowControl w:val="0"/>
              <w:numPr>
                <w:ilvl w:val="0"/>
                <w:numId w:val="9"/>
              </w:numPr>
              <w:suppressAutoHyphens/>
              <w:autoSpaceDN w:val="0"/>
              <w:spacing w:after="200" w:line="276" w:lineRule="auto"/>
              <w:ind w:right="-398"/>
              <w:jc w:val="center"/>
              <w:rPr>
                <w:rFonts w:ascii="Arial Narrow" w:eastAsia="SimSun" w:hAnsi="Arial Narrow" w:cs="Mangal"/>
                <w:kern w:val="3"/>
                <w:lang w:eastAsia="zh-CN"/>
              </w:rPr>
            </w:pPr>
          </w:p>
        </w:tc>
        <w:tc>
          <w:tcPr>
            <w:tcW w:w="3870"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E w:val="0"/>
              <w:autoSpaceDN w:val="0"/>
              <w:rPr>
                <w:rFonts w:ascii="Arial Narrow" w:eastAsia="SimSun" w:hAnsi="Arial Narrow"/>
                <w:kern w:val="3"/>
              </w:rPr>
            </w:pPr>
            <w:r w:rsidRPr="00C03A74">
              <w:rPr>
                <w:rFonts w:ascii="Arial Narrow" w:eastAsia="SimSun" w:hAnsi="Arial Narrow" w:cs="Arial"/>
                <w:kern w:val="3"/>
              </w:rPr>
              <w:t>Dostępność części zamiennych przez okres 10 lat od momentu dostarczenia.</w:t>
            </w:r>
          </w:p>
        </w:tc>
        <w:tc>
          <w:tcPr>
            <w:tcW w:w="403" w:type="pct"/>
            <w:tcBorders>
              <w:top w:val="nil"/>
              <w:left w:val="single" w:sz="4" w:space="0" w:color="000000"/>
              <w:bottom w:val="single" w:sz="4" w:space="0" w:color="000000"/>
              <w:right w:val="single" w:sz="4" w:space="0" w:color="000000"/>
            </w:tcBorders>
            <w:tcMar>
              <w:top w:w="0" w:type="dxa"/>
              <w:left w:w="70" w:type="dxa"/>
              <w:bottom w:w="0" w:type="dxa"/>
              <w:right w:w="70" w:type="dxa"/>
            </w:tcMar>
            <w:vAlign w:val="center"/>
            <w:hideMark/>
          </w:tcPr>
          <w:p w:rsidR="00C03A74" w:rsidRPr="00C03A74" w:rsidRDefault="00C03A74" w:rsidP="00C03A74">
            <w:pPr>
              <w:widowControl w:val="0"/>
              <w:suppressAutoHyphens/>
              <w:autoSpaceDN w:val="0"/>
              <w:jc w:val="center"/>
              <w:rPr>
                <w:rFonts w:ascii="Arial Narrow" w:eastAsia="SimSun" w:hAnsi="Arial Narrow" w:cs="Mangal"/>
                <w:kern w:val="3"/>
                <w:lang w:eastAsia="zh-CN"/>
              </w:rPr>
            </w:pPr>
            <w:r w:rsidRPr="00C03A74">
              <w:rPr>
                <w:rFonts w:ascii="Arial Narrow" w:eastAsia="SimSun" w:hAnsi="Arial Narrow" w:cs="Mangal"/>
                <w:kern w:val="3"/>
                <w:lang w:eastAsia="zh-CN"/>
              </w:rPr>
              <w:t>TAK</w:t>
            </w:r>
          </w:p>
        </w:tc>
        <w:tc>
          <w:tcPr>
            <w:tcW w:w="568" w:type="pct"/>
            <w:tcBorders>
              <w:top w:val="nil"/>
              <w:left w:val="single" w:sz="4" w:space="0" w:color="000000"/>
              <w:bottom w:val="single" w:sz="4" w:space="0" w:color="000000"/>
              <w:right w:val="single" w:sz="4" w:space="0" w:color="auto"/>
            </w:tcBorders>
            <w:tcMar>
              <w:top w:w="0" w:type="dxa"/>
              <w:left w:w="70" w:type="dxa"/>
              <w:bottom w:w="0" w:type="dxa"/>
              <w:right w:w="70" w:type="dxa"/>
            </w:tcMar>
            <w:vAlign w:val="center"/>
          </w:tcPr>
          <w:p w:rsidR="00C03A74" w:rsidRPr="00C03A74" w:rsidRDefault="00C03A74" w:rsidP="00C03A74">
            <w:pPr>
              <w:widowControl w:val="0"/>
              <w:suppressAutoHyphens/>
              <w:autoSpaceDN w:val="0"/>
              <w:rPr>
                <w:rFonts w:ascii="Arial Narrow" w:eastAsia="SimSun" w:hAnsi="Arial Narrow" w:cs="Mangal"/>
                <w:kern w:val="3"/>
                <w:lang w:eastAsia="zh-CN"/>
              </w:rPr>
            </w:pPr>
          </w:p>
        </w:tc>
      </w:tr>
    </w:tbl>
    <w:p w:rsidR="00C03A74" w:rsidRDefault="00C03A74" w:rsidP="00C03A74">
      <w:pPr>
        <w:pStyle w:val="Tekstpodstawowy"/>
        <w:spacing w:before="120" w:after="480"/>
        <w:rPr>
          <w:rFonts w:ascii="Arial Narrow" w:hAnsi="Arial Narrow" w:cs="Arial"/>
          <w:i/>
          <w:sz w:val="22"/>
          <w:szCs w:val="24"/>
        </w:rPr>
      </w:pPr>
    </w:p>
    <w:p w:rsidR="00C03A74" w:rsidRPr="00C03A74" w:rsidRDefault="00C03A74" w:rsidP="00C03A74">
      <w:pPr>
        <w:pStyle w:val="Tekstpodstawowy"/>
        <w:spacing w:before="120" w:after="480"/>
        <w:rPr>
          <w:rFonts w:ascii="Arial Narrow" w:hAnsi="Arial Narrow" w:cs="Arial"/>
          <w:b/>
          <w:sz w:val="22"/>
          <w:szCs w:val="24"/>
        </w:rPr>
      </w:pPr>
      <w:r w:rsidRPr="00C03A74">
        <w:rPr>
          <w:rFonts w:ascii="Arial Narrow" w:hAnsi="Arial Narrow" w:cs="Arial"/>
          <w:b/>
          <w:sz w:val="22"/>
          <w:szCs w:val="24"/>
        </w:rPr>
        <w:t xml:space="preserve">Odpowiedź: Zgodnie z zapisami SWZ i udzielonymi niniejszym pismem wyjaśnieniami. </w:t>
      </w:r>
    </w:p>
    <w:p w:rsidR="00C03A74" w:rsidRPr="00C03A74" w:rsidRDefault="00C03A74" w:rsidP="00C03A74"/>
    <w:p w:rsidR="00C03A74" w:rsidRDefault="00C03A74" w:rsidP="00C03A74"/>
    <w:p w:rsidR="00C03A74" w:rsidRDefault="00C03A74" w:rsidP="00C03A74"/>
    <w:p w:rsidR="00C03A74" w:rsidRPr="00C03A74" w:rsidRDefault="00C03A74" w:rsidP="00C03A74">
      <w:pPr>
        <w:tabs>
          <w:tab w:val="left" w:pos="11685"/>
        </w:tabs>
        <w:rPr>
          <w:rFonts w:ascii="Arial Narrow" w:hAnsi="Arial Narrow"/>
          <w:i/>
          <w:sz w:val="24"/>
          <w:szCs w:val="24"/>
        </w:rPr>
      </w:pPr>
      <w:r>
        <w:tab/>
      </w:r>
      <w:r w:rsidRPr="00C03A74">
        <w:rPr>
          <w:rFonts w:ascii="Arial Narrow" w:hAnsi="Arial Narrow"/>
          <w:i/>
          <w:sz w:val="24"/>
          <w:szCs w:val="24"/>
        </w:rPr>
        <w:t>Zamawiający</w:t>
      </w:r>
    </w:p>
    <w:p w:rsidR="00C03A74" w:rsidRDefault="00C03A74" w:rsidP="00C03A74"/>
    <w:p w:rsid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Pr="00C03A74" w:rsidRDefault="00C03A74" w:rsidP="00C03A74"/>
    <w:p w:rsidR="00C03A74" w:rsidRDefault="00C03A74" w:rsidP="00C03A74"/>
    <w:p w:rsidR="00C03A74" w:rsidRDefault="00C03A74" w:rsidP="00C03A74"/>
    <w:p w:rsidR="00C03A74" w:rsidRDefault="00C03A74" w:rsidP="00C03A74">
      <w:pPr>
        <w:rPr>
          <w:rFonts w:ascii="Arial Narrow" w:hAnsi="Arial Narrow"/>
        </w:rPr>
      </w:pPr>
      <w:r>
        <w:rPr>
          <w:rFonts w:ascii="Arial Narrow" w:hAnsi="Arial Narrow"/>
        </w:rPr>
        <w:t>Wykonano w  2 egz. na 1</w:t>
      </w:r>
      <w:r w:rsidR="00352B0A">
        <w:rPr>
          <w:rFonts w:ascii="Arial Narrow" w:hAnsi="Arial Narrow"/>
        </w:rPr>
        <w:t>2</w:t>
      </w:r>
      <w:r>
        <w:rPr>
          <w:rFonts w:ascii="Arial Narrow" w:hAnsi="Arial Narrow"/>
        </w:rPr>
        <w:t xml:space="preserve"> ark.</w:t>
      </w:r>
    </w:p>
    <w:p w:rsidR="00C03A74" w:rsidRDefault="00C03A74" w:rsidP="00C03A74">
      <w:pPr>
        <w:rPr>
          <w:rFonts w:ascii="Arial Narrow" w:hAnsi="Arial Narrow"/>
        </w:rPr>
      </w:pPr>
      <w:r>
        <w:rPr>
          <w:rFonts w:ascii="Arial Narrow" w:hAnsi="Arial Narrow"/>
        </w:rPr>
        <w:t>Egz. 1 – a/a kancelaria</w:t>
      </w:r>
    </w:p>
    <w:p w:rsidR="00C03A74" w:rsidRDefault="00C03A74" w:rsidP="00C03A74">
      <w:pPr>
        <w:rPr>
          <w:rFonts w:ascii="Arial Narrow" w:hAnsi="Arial Narrow"/>
        </w:rPr>
      </w:pPr>
      <w:r>
        <w:rPr>
          <w:rFonts w:ascii="Arial Narrow" w:hAnsi="Arial Narrow"/>
        </w:rPr>
        <w:t>Egz. 2 – uczestnicy postepowania ( platforma e-propublico.pl); SZPubl. T 2612 B5</w:t>
      </w:r>
    </w:p>
    <w:p w:rsidR="00C03A74" w:rsidRDefault="00C03A74" w:rsidP="00C03A74">
      <w:pPr>
        <w:rPr>
          <w:rFonts w:ascii="Arial Narrow" w:hAnsi="Arial Narrow"/>
        </w:rPr>
      </w:pPr>
      <w:r>
        <w:rPr>
          <w:rFonts w:ascii="Arial Narrow" w:hAnsi="Arial Narrow"/>
        </w:rPr>
        <w:t>Wyk. K. Kornowska – tel. 261 417 449</w:t>
      </w:r>
    </w:p>
    <w:p w:rsidR="00C03A74" w:rsidRPr="00C03A74" w:rsidRDefault="00C03A74" w:rsidP="00C03A74">
      <w:pPr>
        <w:rPr>
          <w:rFonts w:ascii="Arial Narrow" w:hAnsi="Arial Narrow"/>
        </w:rPr>
        <w:sectPr w:rsidR="00C03A74" w:rsidRPr="00C03A74" w:rsidSect="00C03A74">
          <w:pgSz w:w="16838" w:h="11906" w:orient="landscape" w:code="9"/>
          <w:pgMar w:top="1418" w:right="1418" w:bottom="1418" w:left="1418" w:header="709" w:footer="709" w:gutter="0"/>
          <w:cols w:space="708"/>
        </w:sectPr>
      </w:pPr>
      <w:r>
        <w:rPr>
          <w:rFonts w:ascii="Arial Narrow" w:hAnsi="Arial Narrow"/>
        </w:rPr>
        <w:t>Data: 2022-07-13</w:t>
      </w:r>
    </w:p>
    <w:p w:rsidR="000A2EFD" w:rsidRPr="00C03A74" w:rsidRDefault="000A2EFD" w:rsidP="00585B56">
      <w:pPr>
        <w:tabs>
          <w:tab w:val="left" w:pos="3300"/>
        </w:tabs>
      </w:pPr>
      <w:bookmarkStart w:id="1" w:name="_GoBack"/>
      <w:bookmarkEnd w:id="1"/>
    </w:p>
    <w:sectPr w:rsidR="000A2EFD" w:rsidRPr="00C03A74" w:rsidSect="0012774F">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B0A" w:rsidRDefault="00352B0A">
      <w:r>
        <w:separator/>
      </w:r>
    </w:p>
  </w:endnote>
  <w:endnote w:type="continuationSeparator" w:id="0">
    <w:p w:rsidR="00352B0A" w:rsidRDefault="00352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ans Narrow">
    <w:altName w:val="Arial"/>
    <w:charset w:val="00"/>
    <w:family w:val="swiss"/>
    <w:pitch w:val="variable"/>
  </w:font>
  <w:font w:name="Times New Roman">
    <w:panose1 w:val="02020603050405020304"/>
    <w:charset w:val="EE"/>
    <w:family w:val="roman"/>
    <w:pitch w:val="variable"/>
    <w:sig w:usb0="20002A87" w:usb1="00000000" w:usb2="00000000" w:usb3="00000000" w:csb0="000001FF" w:csb1="00000000"/>
  </w:font>
  <w:font w:name="Arial">
    <w:panose1 w:val="020B0604020202020204"/>
    <w:charset w:val="EE"/>
    <w:family w:val="swiss"/>
    <w:pitch w:val="variable"/>
    <w:sig w:usb0="20002A87" w:usb1="00000000" w:usb2="00000000" w:usb3="00000000" w:csb0="000001FF" w:csb1="00000000"/>
  </w:font>
  <w:font w:name="Arial Narrow">
    <w:panose1 w:val="020B0606020202030204"/>
    <w:charset w:val="EE"/>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Narrow">
    <w:altName w:val="MS Mincho"/>
    <w:charset w:val="80"/>
    <w:family w:val="swiss"/>
    <w:pitch w:val="default"/>
  </w:font>
  <w:font w:name="Segoe UI">
    <w:panose1 w:val="020B0502040204020203"/>
    <w:charset w:val="EE"/>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EE"/>
    <w:family w:val="swiss"/>
    <w:pitch w:val="variable"/>
    <w:sig w:usb0="E4002EFF" w:usb1="C000247B" w:usb2="00000009" w:usb3="00000000" w:csb0="000001FF" w:csb1="00000000"/>
  </w:font>
  <w:font w:name="OpenSymbol">
    <w:charset w:val="00"/>
    <w:family w:val="auto"/>
    <w:pitch w:val="variable"/>
    <w:sig w:usb0="800000AF" w:usb1="1001ECEA"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0A" w:rsidRDefault="00352B0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352B0A" w:rsidRDefault="00352B0A">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0A" w:rsidRDefault="00352B0A">
    <w:pPr>
      <w:pStyle w:val="Stopka"/>
      <w:tabs>
        <w:tab w:val="clear" w:pos="4536"/>
      </w:tabs>
      <w:jc w:val="center"/>
    </w:pPr>
    <w:r>
      <w:rPr>
        <w:noProof/>
      </w:rPr>
      <w:pict>
        <v:line id="_x0000_s2049" style="position:absolute;left:0;text-align:left;z-index:251657728" from="-3.85pt,8.75pt" to="455.15pt,8.75pt"/>
      </w:pict>
    </w:r>
  </w:p>
  <w:p w:rsidR="00352B0A" w:rsidRDefault="00352B0A">
    <w:pPr>
      <w:pStyle w:val="Stopka"/>
      <w:tabs>
        <w:tab w:val="clear" w:pos="4536"/>
      </w:tabs>
      <w:jc w:val="center"/>
      <w:rPr>
        <w:rFonts w:ascii="Arial" w:hAnsi="Arial" w:cs="Arial"/>
        <w:sz w:val="18"/>
        <w:szCs w:val="18"/>
      </w:rPr>
    </w:pPr>
    <w:r>
      <w:rPr>
        <w:rFonts w:ascii="Arial" w:hAnsi="Arial" w:cs="Arial"/>
        <w:sz w:val="18"/>
        <w:szCs w:val="18"/>
      </w:rPr>
      <w:t>System ProPublico © Datacomp</w:t>
    </w:r>
    <w:r>
      <w:rPr>
        <w:rFonts w:ascii="Arial" w:hAnsi="Arial" w:cs="Arial"/>
        <w:sz w:val="18"/>
        <w:szCs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0A" w:rsidRDefault="00352B0A">
    <w:pPr>
      <w:pStyle w:val="Stopka"/>
      <w:pBdr>
        <w:bottom w:val="single" w:sz="6" w:space="0" w:color="auto"/>
      </w:pBdr>
      <w:tabs>
        <w:tab w:val="clear" w:pos="4536"/>
        <w:tab w:val="left" w:pos="6237"/>
      </w:tabs>
    </w:pPr>
  </w:p>
  <w:p w:rsidR="00352B0A" w:rsidRDefault="00352B0A">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10120">
      <w:rPr>
        <w:rStyle w:val="Numerstrony"/>
        <w:noProof/>
      </w:rPr>
      <w:t>25</w:t>
    </w:r>
    <w:r>
      <w:rPr>
        <w:rStyle w:val="Numerstrony"/>
      </w:rPr>
      <w:fldChar w:fldCharType="end"/>
    </w:r>
  </w:p>
  <w:p w:rsidR="00352B0A" w:rsidRDefault="00352B0A">
    <w:pPr>
      <w:pStyle w:val="Stopka"/>
      <w:tabs>
        <w:tab w:val="clear" w:pos="4536"/>
        <w:tab w:val="left" w:pos="6237"/>
      </w:tabs>
    </w:pPr>
  </w:p>
  <w:p w:rsidR="00352B0A" w:rsidRDefault="00352B0A">
    <w:pPr>
      <w:pStyle w:val="Stopka"/>
    </w:pPr>
    <w:r>
      <w:t>System PRZETARG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B0A" w:rsidRDefault="00352B0A">
      <w:r>
        <w:separator/>
      </w:r>
    </w:p>
  </w:footnote>
  <w:footnote w:type="continuationSeparator" w:id="0">
    <w:p w:rsidR="00352B0A" w:rsidRDefault="00352B0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0A" w:rsidRDefault="00352B0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0A" w:rsidRDefault="00352B0A">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B0A" w:rsidRDefault="00352B0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E463D"/>
    <w:multiLevelType w:val="hybridMultilevel"/>
    <w:tmpl w:val="CFA234FA"/>
    <w:lvl w:ilvl="0" w:tplc="B840E516">
      <w:numFmt w:val="bullet"/>
      <w:lvlText w:val="-"/>
      <w:lvlJc w:val="left"/>
      <w:pPr>
        <w:ind w:left="72" w:hanging="101"/>
      </w:pPr>
      <w:rPr>
        <w:rFonts w:ascii="Liberation Sans Narrow" w:eastAsia="Liberation Sans Narrow" w:hAnsi="Liberation Sans Narrow" w:cs="Liberation Sans Narrow" w:hint="default"/>
        <w:w w:val="99"/>
        <w:sz w:val="20"/>
        <w:szCs w:val="20"/>
        <w:lang w:val="pl-PL" w:eastAsia="en-US" w:bidi="ar-SA"/>
      </w:rPr>
    </w:lvl>
    <w:lvl w:ilvl="1" w:tplc="146CB332">
      <w:numFmt w:val="bullet"/>
      <w:lvlText w:val="•"/>
      <w:lvlJc w:val="left"/>
      <w:pPr>
        <w:ind w:left="1056" w:hanging="101"/>
      </w:pPr>
      <w:rPr>
        <w:lang w:val="pl-PL" w:eastAsia="en-US" w:bidi="ar-SA"/>
      </w:rPr>
    </w:lvl>
    <w:lvl w:ilvl="2" w:tplc="29DC5984">
      <w:numFmt w:val="bullet"/>
      <w:lvlText w:val="•"/>
      <w:lvlJc w:val="left"/>
      <w:pPr>
        <w:ind w:left="2032" w:hanging="101"/>
      </w:pPr>
      <w:rPr>
        <w:lang w:val="pl-PL" w:eastAsia="en-US" w:bidi="ar-SA"/>
      </w:rPr>
    </w:lvl>
    <w:lvl w:ilvl="3" w:tplc="76866E86">
      <w:numFmt w:val="bullet"/>
      <w:lvlText w:val="•"/>
      <w:lvlJc w:val="left"/>
      <w:pPr>
        <w:ind w:left="3008" w:hanging="101"/>
      </w:pPr>
      <w:rPr>
        <w:lang w:val="pl-PL" w:eastAsia="en-US" w:bidi="ar-SA"/>
      </w:rPr>
    </w:lvl>
    <w:lvl w:ilvl="4" w:tplc="AC3268C0">
      <w:numFmt w:val="bullet"/>
      <w:lvlText w:val="•"/>
      <w:lvlJc w:val="left"/>
      <w:pPr>
        <w:ind w:left="3984" w:hanging="101"/>
      </w:pPr>
      <w:rPr>
        <w:lang w:val="pl-PL" w:eastAsia="en-US" w:bidi="ar-SA"/>
      </w:rPr>
    </w:lvl>
    <w:lvl w:ilvl="5" w:tplc="FDF677F0">
      <w:numFmt w:val="bullet"/>
      <w:lvlText w:val="•"/>
      <w:lvlJc w:val="left"/>
      <w:pPr>
        <w:ind w:left="4960" w:hanging="101"/>
      </w:pPr>
      <w:rPr>
        <w:lang w:val="pl-PL" w:eastAsia="en-US" w:bidi="ar-SA"/>
      </w:rPr>
    </w:lvl>
    <w:lvl w:ilvl="6" w:tplc="A260A6DE">
      <w:numFmt w:val="bullet"/>
      <w:lvlText w:val="•"/>
      <w:lvlJc w:val="left"/>
      <w:pPr>
        <w:ind w:left="5936" w:hanging="101"/>
      </w:pPr>
      <w:rPr>
        <w:lang w:val="pl-PL" w:eastAsia="en-US" w:bidi="ar-SA"/>
      </w:rPr>
    </w:lvl>
    <w:lvl w:ilvl="7" w:tplc="228823EE">
      <w:numFmt w:val="bullet"/>
      <w:lvlText w:val="•"/>
      <w:lvlJc w:val="left"/>
      <w:pPr>
        <w:ind w:left="6912" w:hanging="101"/>
      </w:pPr>
      <w:rPr>
        <w:lang w:val="pl-PL" w:eastAsia="en-US" w:bidi="ar-SA"/>
      </w:rPr>
    </w:lvl>
    <w:lvl w:ilvl="8" w:tplc="C4DA59FA">
      <w:numFmt w:val="bullet"/>
      <w:lvlText w:val="•"/>
      <w:lvlJc w:val="left"/>
      <w:pPr>
        <w:ind w:left="7888" w:hanging="101"/>
      </w:pPr>
      <w:rPr>
        <w:lang w:val="pl-PL" w:eastAsia="en-US" w:bidi="ar-SA"/>
      </w:rPr>
    </w:lvl>
  </w:abstractNum>
  <w:abstractNum w:abstractNumId="1">
    <w:nsid w:val="0B920F18"/>
    <w:multiLevelType w:val="hybridMultilevel"/>
    <w:tmpl w:val="6BFE53D8"/>
    <w:lvl w:ilvl="0" w:tplc="F614F920">
      <w:numFmt w:val="bullet"/>
      <w:lvlText w:val="-"/>
      <w:lvlJc w:val="left"/>
      <w:pPr>
        <w:ind w:left="170" w:hanging="99"/>
      </w:pPr>
      <w:rPr>
        <w:rFonts w:ascii="Liberation Sans Narrow" w:eastAsia="Liberation Sans Narrow" w:hAnsi="Liberation Sans Narrow" w:cs="Liberation Sans Narrow" w:hint="default"/>
        <w:w w:val="99"/>
        <w:sz w:val="20"/>
        <w:szCs w:val="20"/>
        <w:lang w:val="pl-PL" w:eastAsia="en-US" w:bidi="ar-SA"/>
      </w:rPr>
    </w:lvl>
    <w:lvl w:ilvl="1" w:tplc="D44C0A96">
      <w:numFmt w:val="bullet"/>
      <w:lvlText w:val="•"/>
      <w:lvlJc w:val="left"/>
      <w:pPr>
        <w:ind w:left="1146" w:hanging="99"/>
      </w:pPr>
      <w:rPr>
        <w:lang w:val="pl-PL" w:eastAsia="en-US" w:bidi="ar-SA"/>
      </w:rPr>
    </w:lvl>
    <w:lvl w:ilvl="2" w:tplc="72A83A22">
      <w:numFmt w:val="bullet"/>
      <w:lvlText w:val="•"/>
      <w:lvlJc w:val="left"/>
      <w:pPr>
        <w:ind w:left="2112" w:hanging="99"/>
      </w:pPr>
      <w:rPr>
        <w:lang w:val="pl-PL" w:eastAsia="en-US" w:bidi="ar-SA"/>
      </w:rPr>
    </w:lvl>
    <w:lvl w:ilvl="3" w:tplc="778CA600">
      <w:numFmt w:val="bullet"/>
      <w:lvlText w:val="•"/>
      <w:lvlJc w:val="left"/>
      <w:pPr>
        <w:ind w:left="3078" w:hanging="99"/>
      </w:pPr>
      <w:rPr>
        <w:lang w:val="pl-PL" w:eastAsia="en-US" w:bidi="ar-SA"/>
      </w:rPr>
    </w:lvl>
    <w:lvl w:ilvl="4" w:tplc="01EAE656">
      <w:numFmt w:val="bullet"/>
      <w:lvlText w:val="•"/>
      <w:lvlJc w:val="left"/>
      <w:pPr>
        <w:ind w:left="4044" w:hanging="99"/>
      </w:pPr>
      <w:rPr>
        <w:lang w:val="pl-PL" w:eastAsia="en-US" w:bidi="ar-SA"/>
      </w:rPr>
    </w:lvl>
    <w:lvl w:ilvl="5" w:tplc="32ECE12C">
      <w:numFmt w:val="bullet"/>
      <w:lvlText w:val="•"/>
      <w:lvlJc w:val="left"/>
      <w:pPr>
        <w:ind w:left="5010" w:hanging="99"/>
      </w:pPr>
      <w:rPr>
        <w:lang w:val="pl-PL" w:eastAsia="en-US" w:bidi="ar-SA"/>
      </w:rPr>
    </w:lvl>
    <w:lvl w:ilvl="6" w:tplc="DFE63910">
      <w:numFmt w:val="bullet"/>
      <w:lvlText w:val="•"/>
      <w:lvlJc w:val="left"/>
      <w:pPr>
        <w:ind w:left="5976" w:hanging="99"/>
      </w:pPr>
      <w:rPr>
        <w:lang w:val="pl-PL" w:eastAsia="en-US" w:bidi="ar-SA"/>
      </w:rPr>
    </w:lvl>
    <w:lvl w:ilvl="7" w:tplc="785AB22E">
      <w:numFmt w:val="bullet"/>
      <w:lvlText w:val="•"/>
      <w:lvlJc w:val="left"/>
      <w:pPr>
        <w:ind w:left="6942" w:hanging="99"/>
      </w:pPr>
      <w:rPr>
        <w:lang w:val="pl-PL" w:eastAsia="en-US" w:bidi="ar-SA"/>
      </w:rPr>
    </w:lvl>
    <w:lvl w:ilvl="8" w:tplc="3508D95E">
      <w:numFmt w:val="bullet"/>
      <w:lvlText w:val="•"/>
      <w:lvlJc w:val="left"/>
      <w:pPr>
        <w:ind w:left="7908" w:hanging="99"/>
      </w:pPr>
      <w:rPr>
        <w:lang w:val="pl-PL" w:eastAsia="en-US" w:bidi="ar-SA"/>
      </w:rPr>
    </w:lvl>
  </w:abstractNum>
  <w:abstractNum w:abstractNumId="2">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AD835E5"/>
    <w:multiLevelType w:val="hybridMultilevel"/>
    <w:tmpl w:val="8C4A6DAA"/>
    <w:lvl w:ilvl="0" w:tplc="6D1EB370">
      <w:numFmt w:val="bullet"/>
      <w:lvlText w:val="-"/>
      <w:lvlJc w:val="left"/>
      <w:pPr>
        <w:ind w:left="173" w:hanging="101"/>
      </w:pPr>
      <w:rPr>
        <w:rFonts w:ascii="Liberation Sans Narrow" w:eastAsia="Liberation Sans Narrow" w:hAnsi="Liberation Sans Narrow" w:cs="Liberation Sans Narrow" w:hint="default"/>
        <w:w w:val="99"/>
        <w:sz w:val="20"/>
        <w:szCs w:val="20"/>
        <w:lang w:val="pl-PL" w:eastAsia="en-US" w:bidi="ar-SA"/>
      </w:rPr>
    </w:lvl>
    <w:lvl w:ilvl="1" w:tplc="6E40E514">
      <w:numFmt w:val="bullet"/>
      <w:lvlText w:val="•"/>
      <w:lvlJc w:val="left"/>
      <w:pPr>
        <w:ind w:left="1146" w:hanging="101"/>
      </w:pPr>
      <w:rPr>
        <w:lang w:val="pl-PL" w:eastAsia="en-US" w:bidi="ar-SA"/>
      </w:rPr>
    </w:lvl>
    <w:lvl w:ilvl="2" w:tplc="E8721EBE">
      <w:numFmt w:val="bullet"/>
      <w:lvlText w:val="•"/>
      <w:lvlJc w:val="left"/>
      <w:pPr>
        <w:ind w:left="2112" w:hanging="101"/>
      </w:pPr>
      <w:rPr>
        <w:lang w:val="pl-PL" w:eastAsia="en-US" w:bidi="ar-SA"/>
      </w:rPr>
    </w:lvl>
    <w:lvl w:ilvl="3" w:tplc="BE127350">
      <w:numFmt w:val="bullet"/>
      <w:lvlText w:val="•"/>
      <w:lvlJc w:val="left"/>
      <w:pPr>
        <w:ind w:left="3078" w:hanging="101"/>
      </w:pPr>
      <w:rPr>
        <w:lang w:val="pl-PL" w:eastAsia="en-US" w:bidi="ar-SA"/>
      </w:rPr>
    </w:lvl>
    <w:lvl w:ilvl="4" w:tplc="55366EF2">
      <w:numFmt w:val="bullet"/>
      <w:lvlText w:val="•"/>
      <w:lvlJc w:val="left"/>
      <w:pPr>
        <w:ind w:left="4044" w:hanging="101"/>
      </w:pPr>
      <w:rPr>
        <w:lang w:val="pl-PL" w:eastAsia="en-US" w:bidi="ar-SA"/>
      </w:rPr>
    </w:lvl>
    <w:lvl w:ilvl="5" w:tplc="A34E6484">
      <w:numFmt w:val="bullet"/>
      <w:lvlText w:val="•"/>
      <w:lvlJc w:val="left"/>
      <w:pPr>
        <w:ind w:left="5010" w:hanging="101"/>
      </w:pPr>
      <w:rPr>
        <w:lang w:val="pl-PL" w:eastAsia="en-US" w:bidi="ar-SA"/>
      </w:rPr>
    </w:lvl>
    <w:lvl w:ilvl="6" w:tplc="939E7CF2">
      <w:numFmt w:val="bullet"/>
      <w:lvlText w:val="•"/>
      <w:lvlJc w:val="left"/>
      <w:pPr>
        <w:ind w:left="5976" w:hanging="101"/>
      </w:pPr>
      <w:rPr>
        <w:lang w:val="pl-PL" w:eastAsia="en-US" w:bidi="ar-SA"/>
      </w:rPr>
    </w:lvl>
    <w:lvl w:ilvl="7" w:tplc="B9D23586">
      <w:numFmt w:val="bullet"/>
      <w:lvlText w:val="•"/>
      <w:lvlJc w:val="left"/>
      <w:pPr>
        <w:ind w:left="6942" w:hanging="101"/>
      </w:pPr>
      <w:rPr>
        <w:lang w:val="pl-PL" w:eastAsia="en-US" w:bidi="ar-SA"/>
      </w:rPr>
    </w:lvl>
    <w:lvl w:ilvl="8" w:tplc="E716D072">
      <w:numFmt w:val="bullet"/>
      <w:lvlText w:val="•"/>
      <w:lvlJc w:val="left"/>
      <w:pPr>
        <w:ind w:left="7908" w:hanging="101"/>
      </w:pPr>
      <w:rPr>
        <w:lang w:val="pl-PL" w:eastAsia="en-US" w:bidi="ar-SA"/>
      </w:rPr>
    </w:lvl>
  </w:abstractNum>
  <w:abstractNum w:abstractNumId="5">
    <w:nsid w:val="435E338D"/>
    <w:multiLevelType w:val="singleLevel"/>
    <w:tmpl w:val="04150017"/>
    <w:lvl w:ilvl="0">
      <w:start w:val="1"/>
      <w:numFmt w:val="lowerLetter"/>
      <w:lvlText w:val="%1)"/>
      <w:lvlJc w:val="left"/>
      <w:pPr>
        <w:tabs>
          <w:tab w:val="num" w:pos="360"/>
        </w:tabs>
        <w:ind w:left="360" w:hanging="360"/>
      </w:pPr>
    </w:lvl>
  </w:abstractNum>
  <w:abstractNum w:abstractNumId="6">
    <w:nsid w:val="487D20FF"/>
    <w:multiLevelType w:val="singleLevel"/>
    <w:tmpl w:val="0415000F"/>
    <w:lvl w:ilvl="0">
      <w:start w:val="1"/>
      <w:numFmt w:val="decimal"/>
      <w:lvlText w:val="%1."/>
      <w:lvlJc w:val="left"/>
      <w:pPr>
        <w:tabs>
          <w:tab w:val="num" w:pos="360"/>
        </w:tabs>
        <w:ind w:left="360" w:hanging="360"/>
      </w:pPr>
    </w:lvl>
  </w:abstractNum>
  <w:abstractNum w:abstractNumId="7">
    <w:nsid w:val="61122886"/>
    <w:multiLevelType w:val="multilevel"/>
    <w:tmpl w:val="5D32AAAE"/>
    <w:lvl w:ilvl="0">
      <w:start w:val="1"/>
      <w:numFmt w:val="decimal"/>
      <w:lvlText w:val="%1."/>
      <w:lvlJc w:val="left"/>
      <w:pPr>
        <w:ind w:left="426" w:hanging="284"/>
      </w:pPr>
      <w:rPr>
        <w:b w:val="0"/>
        <w:i w:val="0"/>
        <w:color w:val="auto"/>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8">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9">
    <w:nsid w:val="6B2D7DD8"/>
    <w:multiLevelType w:val="singleLevel"/>
    <w:tmpl w:val="0415000F"/>
    <w:lvl w:ilvl="0">
      <w:start w:val="1"/>
      <w:numFmt w:val="decimal"/>
      <w:lvlText w:val="%1."/>
      <w:lvlJc w:val="left"/>
      <w:pPr>
        <w:tabs>
          <w:tab w:val="num" w:pos="360"/>
        </w:tabs>
        <w:ind w:left="360" w:hanging="360"/>
      </w:pPr>
    </w:lvl>
  </w:abstractNum>
  <w:abstractNum w:abstractNumId="10">
    <w:nsid w:val="6E33593D"/>
    <w:multiLevelType w:val="singleLevel"/>
    <w:tmpl w:val="0415000F"/>
    <w:lvl w:ilvl="0">
      <w:start w:val="1"/>
      <w:numFmt w:val="decimal"/>
      <w:lvlText w:val="%1."/>
      <w:lvlJc w:val="left"/>
      <w:pPr>
        <w:tabs>
          <w:tab w:val="num" w:pos="360"/>
        </w:tabs>
        <w:ind w:left="360" w:hanging="360"/>
      </w:pPr>
    </w:lvl>
  </w:abstractNum>
  <w:num w:numId="1">
    <w:abstractNumId w:val="6"/>
  </w:num>
  <w:num w:numId="2">
    <w:abstractNumId w:val="10"/>
  </w:num>
  <w:num w:numId="3">
    <w:abstractNumId w:val="5"/>
  </w:num>
  <w:num w:numId="4">
    <w:abstractNumId w:val="9"/>
  </w:num>
  <w:num w:numId="5">
    <w:abstractNumId w:val="2"/>
  </w:num>
  <w:num w:numId="6">
    <w:abstractNumId w:val="3"/>
  </w:num>
  <w:num w:numId="7">
    <w:abstractNumId w:val="8"/>
  </w:num>
  <w:num w:numId="8">
    <w:abstractNumId w:val="7"/>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0"/>
    <w:lvlOverride w:ilvl="0"/>
    <w:lvlOverride w:ilvl="1"/>
    <w:lvlOverride w:ilvl="2"/>
    <w:lvlOverride w:ilvl="3"/>
    <w:lvlOverride w:ilvl="4"/>
    <w:lvlOverride w:ilvl="5"/>
    <w:lvlOverride w:ilvl="6"/>
    <w:lvlOverride w:ilvl="7"/>
    <w:lvlOverride w:ilvl="8"/>
  </w:num>
  <w:num w:numId="12">
    <w:abstractNumId w:val="4"/>
  </w:num>
  <w:num w:numId="13">
    <w:abstractNumId w:val="4"/>
    <w:lvlOverride w:ilvl="0"/>
    <w:lvlOverride w:ilvl="1"/>
    <w:lvlOverride w:ilvl="2"/>
    <w:lvlOverride w:ilvl="3"/>
    <w:lvlOverride w:ilvl="4"/>
    <w:lvlOverride w:ilvl="5"/>
    <w:lvlOverride w:ilvl="6"/>
    <w:lvlOverride w:ilvl="7"/>
    <w:lvlOverride w:ilvl="8"/>
  </w:num>
  <w:num w:numId="14">
    <w:abstractNumId w:val="1"/>
  </w:num>
  <w:num w:numId="1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7EB9"/>
    <w:rsid w:val="00031374"/>
    <w:rsid w:val="000A1097"/>
    <w:rsid w:val="000A2EFD"/>
    <w:rsid w:val="000E2A8F"/>
    <w:rsid w:val="0012774F"/>
    <w:rsid w:val="00144B7A"/>
    <w:rsid w:val="00180C6E"/>
    <w:rsid w:val="0029606A"/>
    <w:rsid w:val="00352B0A"/>
    <w:rsid w:val="004130D5"/>
    <w:rsid w:val="00467EB9"/>
    <w:rsid w:val="004848F3"/>
    <w:rsid w:val="004938B9"/>
    <w:rsid w:val="004A1F11"/>
    <w:rsid w:val="004A75F2"/>
    <w:rsid w:val="005144A9"/>
    <w:rsid w:val="00520165"/>
    <w:rsid w:val="005466BF"/>
    <w:rsid w:val="00585B56"/>
    <w:rsid w:val="005B1B08"/>
    <w:rsid w:val="005B6192"/>
    <w:rsid w:val="00632C3C"/>
    <w:rsid w:val="00637212"/>
    <w:rsid w:val="00637679"/>
    <w:rsid w:val="00662BDB"/>
    <w:rsid w:val="006A5DF1"/>
    <w:rsid w:val="006B7198"/>
    <w:rsid w:val="006D4AB3"/>
    <w:rsid w:val="006F3B81"/>
    <w:rsid w:val="007D7198"/>
    <w:rsid w:val="00810120"/>
    <w:rsid w:val="00870F9F"/>
    <w:rsid w:val="008804B6"/>
    <w:rsid w:val="00897AB0"/>
    <w:rsid w:val="008A3553"/>
    <w:rsid w:val="009003D1"/>
    <w:rsid w:val="00926064"/>
    <w:rsid w:val="00947A50"/>
    <w:rsid w:val="00A077A0"/>
    <w:rsid w:val="00A905AC"/>
    <w:rsid w:val="00AA0655"/>
    <w:rsid w:val="00B1255C"/>
    <w:rsid w:val="00B21917"/>
    <w:rsid w:val="00BA6584"/>
    <w:rsid w:val="00BE7BFD"/>
    <w:rsid w:val="00C03A74"/>
    <w:rsid w:val="00C370F2"/>
    <w:rsid w:val="00C44EEC"/>
    <w:rsid w:val="00C65DE9"/>
    <w:rsid w:val="00D22FFA"/>
    <w:rsid w:val="00D8461B"/>
    <w:rsid w:val="00D9049C"/>
    <w:rsid w:val="00D915F2"/>
    <w:rsid w:val="00DF32E8"/>
    <w:rsid w:val="00E21B49"/>
    <w:rsid w:val="00E2789F"/>
    <w:rsid w:val="00E72428"/>
    <w:rsid w:val="00EA14B3"/>
    <w:rsid w:val="00EA416E"/>
    <w:rsid w:val="00FB5C98"/>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C03A74"/>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paragraph" w:styleId="Nagwek3">
    <w:name w:val="heading 3"/>
    <w:basedOn w:val="Normalny"/>
    <w:next w:val="Normalny"/>
    <w:link w:val="Nagwek3Znak"/>
    <w:semiHidden/>
    <w:unhideWhenUsed/>
    <w:qFormat/>
    <w:rsid w:val="00C03A74"/>
    <w:pPr>
      <w:keepNext/>
      <w:widowControl w:val="0"/>
      <w:suppressAutoHyphens/>
      <w:autoSpaceDN w:val="0"/>
      <w:outlineLvl w:val="2"/>
    </w:pPr>
    <w:rPr>
      <w:rFonts w:ascii="Arial Narrow" w:eastAsia="SimSun" w:hAnsi="Arial Narrow" w:cs="Mangal"/>
      <w:b/>
      <w:kern w:val="3"/>
      <w:lang w:eastAsia="zh-CN"/>
    </w:rPr>
  </w:style>
  <w:style w:type="paragraph" w:styleId="Nagwek4">
    <w:name w:val="heading 4"/>
    <w:basedOn w:val="Normalny"/>
    <w:next w:val="Normalny"/>
    <w:link w:val="Nagwek4Znak"/>
    <w:semiHidden/>
    <w:unhideWhenUsed/>
    <w:qFormat/>
    <w:rsid w:val="00C03A74"/>
    <w:pPr>
      <w:keepNext/>
      <w:widowControl w:val="0"/>
      <w:suppressAutoHyphens/>
      <w:autoSpaceDN w:val="0"/>
      <w:jc w:val="center"/>
      <w:outlineLvl w:val="3"/>
    </w:pPr>
    <w:rPr>
      <w:rFonts w:ascii="Arial Narrow" w:eastAsia="SimSun" w:hAnsi="Arial Narrow" w:cs="Arial"/>
      <w:b/>
      <w:kern w:val="3"/>
      <w:szCs w:val="24"/>
      <w:lang w:eastAsia="zh-CN"/>
    </w:rPr>
  </w:style>
  <w:style w:type="paragraph" w:styleId="Nagwek5">
    <w:name w:val="heading 5"/>
    <w:basedOn w:val="Normalny"/>
    <w:next w:val="Normalny"/>
    <w:link w:val="Nagwek5Znak"/>
    <w:semiHidden/>
    <w:unhideWhenUsed/>
    <w:qFormat/>
    <w:rsid w:val="00C03A74"/>
    <w:pPr>
      <w:keepNext/>
      <w:widowControl w:val="0"/>
      <w:suppressAutoHyphens/>
      <w:autoSpaceDE w:val="0"/>
      <w:autoSpaceDN w:val="0"/>
      <w:ind w:left="27"/>
      <w:outlineLvl w:val="4"/>
    </w:pPr>
    <w:rPr>
      <w:rFonts w:ascii="Arial Narrow" w:eastAsia="ArialNarrow" w:hAnsi="Arial Narrow" w:cs="Arial"/>
      <w:b/>
      <w:bCs/>
      <w:kern w:val="3"/>
      <w:lang w:eastAsia="zh-CN"/>
    </w:rPr>
  </w:style>
  <w:style w:type="paragraph" w:styleId="Nagwek6">
    <w:name w:val="heading 6"/>
    <w:basedOn w:val="Normalny"/>
    <w:next w:val="Normalny"/>
    <w:link w:val="Nagwek6Znak"/>
    <w:semiHidden/>
    <w:unhideWhenUsed/>
    <w:qFormat/>
    <w:rsid w:val="00C03A74"/>
    <w:pPr>
      <w:keepNext/>
      <w:widowControl w:val="0"/>
      <w:suppressAutoHyphens/>
      <w:autoSpaceDN w:val="0"/>
      <w:outlineLvl w:val="5"/>
    </w:pPr>
    <w:rPr>
      <w:rFonts w:ascii="Arial Narrow" w:eastAsia="SimSun" w:hAnsi="Arial Narrow" w:cs="Arial"/>
      <w:b/>
      <w:i/>
      <w:kern w:val="3"/>
      <w:u w:val="single"/>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3Znak">
    <w:name w:val="Nagłówek 3 Znak"/>
    <w:basedOn w:val="Domylnaczcionkaakapitu"/>
    <w:link w:val="Nagwek3"/>
    <w:semiHidden/>
    <w:rsid w:val="00C03A74"/>
    <w:rPr>
      <w:rFonts w:ascii="Arial Narrow" w:eastAsia="SimSun" w:hAnsi="Arial Narrow" w:cs="Mangal"/>
      <w:b/>
      <w:kern w:val="3"/>
      <w:lang w:eastAsia="zh-CN"/>
    </w:rPr>
  </w:style>
  <w:style w:type="character" w:customStyle="1" w:styleId="Nagwek4Znak">
    <w:name w:val="Nagłówek 4 Znak"/>
    <w:basedOn w:val="Domylnaczcionkaakapitu"/>
    <w:link w:val="Nagwek4"/>
    <w:semiHidden/>
    <w:rsid w:val="00C03A74"/>
    <w:rPr>
      <w:rFonts w:ascii="Arial Narrow" w:eastAsia="SimSun" w:hAnsi="Arial Narrow" w:cs="Arial"/>
      <w:b/>
      <w:kern w:val="3"/>
      <w:szCs w:val="24"/>
      <w:lang w:eastAsia="zh-CN"/>
    </w:rPr>
  </w:style>
  <w:style w:type="character" w:customStyle="1" w:styleId="Nagwek5Znak">
    <w:name w:val="Nagłówek 5 Znak"/>
    <w:basedOn w:val="Domylnaczcionkaakapitu"/>
    <w:link w:val="Nagwek5"/>
    <w:semiHidden/>
    <w:rsid w:val="00C03A74"/>
    <w:rPr>
      <w:rFonts w:ascii="Arial Narrow" w:eastAsia="ArialNarrow" w:hAnsi="Arial Narrow" w:cs="Arial"/>
      <w:b/>
      <w:bCs/>
      <w:kern w:val="3"/>
      <w:lang w:eastAsia="zh-CN"/>
    </w:rPr>
  </w:style>
  <w:style w:type="character" w:customStyle="1" w:styleId="Nagwek6Znak">
    <w:name w:val="Nagłówek 6 Znak"/>
    <w:basedOn w:val="Domylnaczcionkaakapitu"/>
    <w:link w:val="Nagwek6"/>
    <w:semiHidden/>
    <w:rsid w:val="00C03A74"/>
    <w:rPr>
      <w:rFonts w:ascii="Arial Narrow" w:eastAsia="SimSun" w:hAnsi="Arial Narrow" w:cs="Arial"/>
      <w:b/>
      <w:i/>
      <w:kern w:val="3"/>
      <w:u w:val="single"/>
      <w:lang w:eastAsia="zh-CN"/>
    </w:rPr>
  </w:style>
  <w:style w:type="numbering" w:customStyle="1" w:styleId="Bezlisty1">
    <w:name w:val="Bez listy1"/>
    <w:next w:val="Bezlisty"/>
    <w:uiPriority w:val="99"/>
    <w:semiHidden/>
    <w:unhideWhenUsed/>
    <w:rsid w:val="00C03A74"/>
  </w:style>
  <w:style w:type="character" w:customStyle="1" w:styleId="Nagwek1Znak">
    <w:name w:val="Nagłówek 1 Znak"/>
    <w:link w:val="Nagwek1"/>
    <w:rsid w:val="00C03A74"/>
    <w:rPr>
      <w:rFonts w:ascii="Arial" w:hAnsi="Arial"/>
      <w:b/>
      <w:kern w:val="28"/>
      <w:sz w:val="28"/>
    </w:rPr>
  </w:style>
  <w:style w:type="character" w:customStyle="1" w:styleId="Nagwek2Znak">
    <w:name w:val="Nagłówek 2 Znak"/>
    <w:link w:val="Nagwek2"/>
    <w:rsid w:val="00C03A74"/>
    <w:rPr>
      <w:b/>
      <w:sz w:val="24"/>
    </w:rPr>
  </w:style>
  <w:style w:type="paragraph" w:styleId="NormalnyWeb">
    <w:name w:val="Normal (Web)"/>
    <w:basedOn w:val="Normalny"/>
    <w:unhideWhenUsed/>
    <w:rsid w:val="00C03A74"/>
    <w:pPr>
      <w:spacing w:before="100" w:beforeAutospacing="1" w:after="119"/>
    </w:pPr>
    <w:rPr>
      <w:sz w:val="24"/>
      <w:szCs w:val="24"/>
    </w:rPr>
  </w:style>
  <w:style w:type="paragraph" w:styleId="Tekstprzypisudolnego">
    <w:name w:val="footnote text"/>
    <w:basedOn w:val="Normalny"/>
    <w:link w:val="TekstprzypisudolnegoZnak"/>
    <w:unhideWhenUsed/>
    <w:rsid w:val="00C03A74"/>
    <w:rPr>
      <w:lang w:eastAsia="zh-CN"/>
    </w:rPr>
  </w:style>
  <w:style w:type="character" w:customStyle="1" w:styleId="TekstprzypisudolnegoZnak">
    <w:name w:val="Tekst przypisu dolnego Znak"/>
    <w:basedOn w:val="Domylnaczcionkaakapitu"/>
    <w:link w:val="Tekstprzypisudolnego"/>
    <w:rsid w:val="00C03A74"/>
    <w:rPr>
      <w:lang w:eastAsia="zh-CN"/>
    </w:rPr>
  </w:style>
  <w:style w:type="paragraph" w:styleId="Tekstkomentarza">
    <w:name w:val="annotation text"/>
    <w:basedOn w:val="Normalny"/>
    <w:link w:val="TekstkomentarzaZnak"/>
    <w:unhideWhenUsed/>
    <w:rsid w:val="00C03A74"/>
    <w:pPr>
      <w:widowControl w:val="0"/>
      <w:suppressAutoHyphens/>
    </w:pPr>
    <w:rPr>
      <w:rFonts w:eastAsia="SimSun" w:cs="Mangal"/>
      <w:kern w:val="2"/>
      <w:lang w:eastAsia="hi-IN"/>
    </w:rPr>
  </w:style>
  <w:style w:type="character" w:customStyle="1" w:styleId="TekstkomentarzaZnak">
    <w:name w:val="Tekst komentarza Znak"/>
    <w:basedOn w:val="Domylnaczcionkaakapitu"/>
    <w:link w:val="Tekstkomentarza"/>
    <w:rsid w:val="00C03A74"/>
    <w:rPr>
      <w:rFonts w:eastAsia="SimSun" w:cs="Mangal"/>
      <w:kern w:val="2"/>
      <w:lang w:eastAsia="hi-IN"/>
    </w:rPr>
  </w:style>
  <w:style w:type="character" w:customStyle="1" w:styleId="NagwekZnak">
    <w:name w:val="Nagłówek Znak"/>
    <w:link w:val="Nagwek"/>
    <w:rsid w:val="00C03A74"/>
  </w:style>
  <w:style w:type="character" w:customStyle="1" w:styleId="StopkaZnak">
    <w:name w:val="Stopka Znak"/>
    <w:link w:val="Stopka"/>
    <w:rsid w:val="00C03A74"/>
  </w:style>
  <w:style w:type="paragraph" w:styleId="Tekstprzypisukocowego">
    <w:name w:val="endnote text"/>
    <w:basedOn w:val="Normalny"/>
    <w:link w:val="TekstprzypisukocowegoZnak"/>
    <w:unhideWhenUsed/>
    <w:rsid w:val="00C03A74"/>
    <w:pPr>
      <w:widowControl w:val="0"/>
      <w:suppressAutoHyphens/>
      <w:autoSpaceDN w:val="0"/>
    </w:pPr>
    <w:rPr>
      <w:rFonts w:eastAsia="SimSun" w:cs="Mangal"/>
      <w:kern w:val="3"/>
      <w:lang w:eastAsia="zh-CN"/>
    </w:rPr>
  </w:style>
  <w:style w:type="character" w:customStyle="1" w:styleId="TekstprzypisukocowegoZnak">
    <w:name w:val="Tekst przypisu końcowego Znak"/>
    <w:basedOn w:val="Domylnaczcionkaakapitu"/>
    <w:link w:val="Tekstprzypisukocowego"/>
    <w:rsid w:val="00C03A74"/>
    <w:rPr>
      <w:rFonts w:eastAsia="SimSun" w:cs="Mangal"/>
      <w:kern w:val="3"/>
      <w:lang w:eastAsia="zh-CN"/>
    </w:rPr>
  </w:style>
  <w:style w:type="character" w:customStyle="1" w:styleId="TekstpodstawowyZnak">
    <w:name w:val="Tekst podstawowy Znak"/>
    <w:link w:val="Tekstpodstawowy"/>
    <w:rsid w:val="00C03A74"/>
    <w:rPr>
      <w:sz w:val="28"/>
    </w:rPr>
  </w:style>
  <w:style w:type="paragraph" w:styleId="Tekstpodstawowy2">
    <w:name w:val="Body Text 2"/>
    <w:basedOn w:val="Normalny"/>
    <w:link w:val="Tekstpodstawowy2Znak"/>
    <w:unhideWhenUsed/>
    <w:rsid w:val="00C03A74"/>
    <w:rPr>
      <w:rFonts w:ascii="Arial" w:eastAsia="SimSun" w:hAnsi="Arial" w:cs="Mangal"/>
      <w:sz w:val="22"/>
    </w:rPr>
  </w:style>
  <w:style w:type="character" w:customStyle="1" w:styleId="Tekstpodstawowy2Znak">
    <w:name w:val="Tekst podstawowy 2 Znak"/>
    <w:basedOn w:val="Domylnaczcionkaakapitu"/>
    <w:link w:val="Tekstpodstawowy2"/>
    <w:rsid w:val="00C03A74"/>
    <w:rPr>
      <w:rFonts w:ascii="Arial" w:eastAsia="SimSun" w:hAnsi="Arial" w:cs="Mangal"/>
      <w:sz w:val="22"/>
    </w:rPr>
  </w:style>
  <w:style w:type="paragraph" w:styleId="Akapitzlist">
    <w:name w:val="List Paragraph"/>
    <w:basedOn w:val="Normalny"/>
    <w:uiPriority w:val="34"/>
    <w:qFormat/>
    <w:rsid w:val="00C03A74"/>
    <w:pPr>
      <w:widowControl w:val="0"/>
      <w:suppressAutoHyphens/>
      <w:autoSpaceDN w:val="0"/>
      <w:ind w:left="720"/>
      <w:contextualSpacing/>
    </w:pPr>
    <w:rPr>
      <w:rFonts w:eastAsia="SimSun" w:cs="Mangal"/>
      <w:kern w:val="3"/>
      <w:sz w:val="24"/>
      <w:szCs w:val="24"/>
      <w:lang w:eastAsia="zh-CN"/>
    </w:rPr>
  </w:style>
  <w:style w:type="paragraph" w:customStyle="1" w:styleId="Standard">
    <w:name w:val="Standard"/>
    <w:semiHidden/>
    <w:rsid w:val="00C03A74"/>
    <w:pPr>
      <w:widowControl w:val="0"/>
      <w:suppressAutoHyphens/>
      <w:autoSpaceDN w:val="0"/>
    </w:pPr>
    <w:rPr>
      <w:rFonts w:eastAsia="SimSun" w:cs="Mangal"/>
      <w:kern w:val="3"/>
      <w:sz w:val="24"/>
      <w:szCs w:val="24"/>
      <w:lang w:eastAsia="zh-CN" w:bidi="hi-IN"/>
    </w:rPr>
  </w:style>
  <w:style w:type="paragraph" w:customStyle="1" w:styleId="Textbody">
    <w:name w:val="Text body"/>
    <w:basedOn w:val="Standard"/>
    <w:semiHidden/>
    <w:rsid w:val="00C03A74"/>
    <w:pPr>
      <w:spacing w:after="120"/>
    </w:pPr>
  </w:style>
  <w:style w:type="paragraph" w:customStyle="1" w:styleId="Nagwek10">
    <w:name w:val="Nagłówek1"/>
    <w:basedOn w:val="Standard"/>
    <w:next w:val="Textbody"/>
    <w:semiHidden/>
    <w:rsid w:val="00C03A74"/>
    <w:pPr>
      <w:keepNext/>
      <w:spacing w:before="240" w:after="120"/>
    </w:pPr>
    <w:rPr>
      <w:rFonts w:ascii="Arial" w:eastAsia="Microsoft YaHei" w:hAnsi="Arial"/>
      <w:sz w:val="28"/>
      <w:szCs w:val="28"/>
    </w:rPr>
  </w:style>
  <w:style w:type="paragraph" w:customStyle="1" w:styleId="Legenda1">
    <w:name w:val="Legenda1"/>
    <w:basedOn w:val="Standard"/>
    <w:semiHidden/>
    <w:rsid w:val="00C03A74"/>
    <w:pPr>
      <w:suppressLineNumbers/>
      <w:spacing w:before="120" w:after="120"/>
    </w:pPr>
    <w:rPr>
      <w:i/>
      <w:iCs/>
    </w:rPr>
  </w:style>
  <w:style w:type="paragraph" w:customStyle="1" w:styleId="Index">
    <w:name w:val="Index"/>
    <w:basedOn w:val="Standard"/>
    <w:semiHidden/>
    <w:rsid w:val="00C03A74"/>
    <w:pPr>
      <w:suppressLineNumbers/>
    </w:pPr>
  </w:style>
  <w:style w:type="paragraph" w:customStyle="1" w:styleId="TableContents">
    <w:name w:val="Table Contents"/>
    <w:basedOn w:val="Standard"/>
    <w:semiHidden/>
    <w:rsid w:val="00C03A74"/>
    <w:pPr>
      <w:suppressLineNumbers/>
    </w:pPr>
  </w:style>
  <w:style w:type="paragraph" w:customStyle="1" w:styleId="TableHeading">
    <w:name w:val="Table Heading"/>
    <w:basedOn w:val="TableContents"/>
    <w:semiHidden/>
    <w:rsid w:val="00C03A74"/>
    <w:pPr>
      <w:jc w:val="center"/>
    </w:pPr>
    <w:rPr>
      <w:b/>
      <w:bCs/>
    </w:rPr>
  </w:style>
  <w:style w:type="paragraph" w:customStyle="1" w:styleId="pkt">
    <w:name w:val="pkt"/>
    <w:basedOn w:val="Normalny"/>
    <w:semiHidden/>
    <w:rsid w:val="00C03A74"/>
    <w:pPr>
      <w:spacing w:before="60" w:after="60"/>
      <w:ind w:left="851" w:hanging="295"/>
      <w:jc w:val="both"/>
    </w:pPr>
    <w:rPr>
      <w:rFonts w:cs="Mangal"/>
      <w:sz w:val="24"/>
      <w:szCs w:val="24"/>
    </w:rPr>
  </w:style>
  <w:style w:type="paragraph" w:customStyle="1" w:styleId="Nagwek11">
    <w:name w:val="Nagłówek 11"/>
    <w:basedOn w:val="Normalny"/>
    <w:next w:val="Normalny"/>
    <w:semiHidden/>
    <w:rsid w:val="00C03A74"/>
    <w:pPr>
      <w:keepNext/>
      <w:widowControl w:val="0"/>
      <w:suppressAutoHyphens/>
      <w:ind w:left="2127" w:firstLine="3402"/>
      <w:jc w:val="both"/>
    </w:pPr>
    <w:rPr>
      <w:rFonts w:eastAsia="SimSun" w:cs="Mangal"/>
      <w:b/>
      <w:kern w:val="2"/>
      <w:sz w:val="28"/>
      <w:u w:val="single"/>
      <w:lang w:eastAsia="hi-IN"/>
    </w:rPr>
  </w:style>
  <w:style w:type="paragraph" w:customStyle="1" w:styleId="Tekstpodstawowy21">
    <w:name w:val="Tekst podstawowy 21"/>
    <w:basedOn w:val="Normalny"/>
    <w:semiHidden/>
    <w:rsid w:val="00C03A74"/>
    <w:pPr>
      <w:widowControl w:val="0"/>
      <w:suppressAutoHyphens/>
      <w:overflowPunct w:val="0"/>
      <w:autoSpaceDE w:val="0"/>
    </w:pPr>
    <w:rPr>
      <w:rFonts w:ascii="Arial" w:eastAsia="Arial" w:hAnsi="Arial" w:cs="Arial"/>
      <w:kern w:val="2"/>
      <w:sz w:val="22"/>
      <w:szCs w:val="22"/>
      <w:lang w:eastAsia="hi-IN"/>
    </w:rPr>
  </w:style>
  <w:style w:type="paragraph" w:customStyle="1" w:styleId="Default">
    <w:name w:val="Default"/>
    <w:semiHidden/>
    <w:rsid w:val="00C03A74"/>
    <w:pPr>
      <w:autoSpaceDE w:val="0"/>
      <w:autoSpaceDN w:val="0"/>
      <w:adjustRightInd w:val="0"/>
    </w:pPr>
    <w:rPr>
      <w:rFonts w:ascii="Calibri" w:hAnsi="Calibri" w:cs="Calibri"/>
      <w:color w:val="000000"/>
      <w:sz w:val="24"/>
      <w:szCs w:val="24"/>
    </w:rPr>
  </w:style>
  <w:style w:type="paragraph" w:customStyle="1" w:styleId="ZnakZnakZnakZnak">
    <w:name w:val="Znak Znak Znak Znak"/>
    <w:basedOn w:val="Normalny"/>
    <w:semiHidden/>
    <w:rsid w:val="00C03A74"/>
    <w:rPr>
      <w:sz w:val="24"/>
      <w:szCs w:val="24"/>
    </w:rPr>
  </w:style>
  <w:style w:type="paragraph" w:customStyle="1" w:styleId="Normalny1">
    <w:name w:val="Normalny1"/>
    <w:semiHidden/>
    <w:rsid w:val="00C03A74"/>
    <w:pPr>
      <w:suppressAutoHyphens/>
      <w:spacing w:after="200" w:line="276" w:lineRule="auto"/>
    </w:pPr>
    <w:rPr>
      <w:rFonts w:ascii="Calibri" w:eastAsia="Calibri" w:hAnsi="Calibri"/>
      <w:sz w:val="22"/>
      <w:szCs w:val="22"/>
      <w:lang w:eastAsia="en-US"/>
    </w:rPr>
  </w:style>
  <w:style w:type="paragraph" w:customStyle="1" w:styleId="TableParagraph">
    <w:name w:val="Table Paragraph"/>
    <w:basedOn w:val="Normalny"/>
    <w:uiPriority w:val="1"/>
    <w:semiHidden/>
    <w:qFormat/>
    <w:rsid w:val="00C03A74"/>
    <w:pPr>
      <w:widowControl w:val="0"/>
      <w:autoSpaceDE w:val="0"/>
      <w:autoSpaceDN w:val="0"/>
    </w:pPr>
    <w:rPr>
      <w:rFonts w:ascii="Liberation Sans Narrow" w:eastAsia="Liberation Sans Narrow" w:hAnsi="Liberation Sans Narrow" w:cs="Liberation Sans Narrow"/>
      <w:sz w:val="22"/>
      <w:szCs w:val="22"/>
      <w:lang w:eastAsia="en-US"/>
    </w:rPr>
  </w:style>
  <w:style w:type="character" w:styleId="Odwoanieprzypisukocowego">
    <w:name w:val="endnote reference"/>
    <w:unhideWhenUsed/>
    <w:rsid w:val="00C03A74"/>
    <w:rPr>
      <w:vertAlign w:val="superscript"/>
    </w:rPr>
  </w:style>
  <w:style w:type="character" w:styleId="Tekstzastpczy">
    <w:name w:val="Placeholder Text"/>
    <w:uiPriority w:val="99"/>
    <w:semiHidden/>
    <w:rsid w:val="00C03A74"/>
    <w:rPr>
      <w:color w:val="808080"/>
    </w:rPr>
  </w:style>
  <w:style w:type="character" w:customStyle="1" w:styleId="BulletSymbols">
    <w:name w:val="Bullet Symbols"/>
    <w:rsid w:val="00C03A74"/>
    <w:rPr>
      <w:rFonts w:ascii="OpenSymbol" w:eastAsia="OpenSymbol" w:hAnsi="OpenSymbol" w:cs="OpenSymbol" w:hint="default"/>
    </w:rPr>
  </w:style>
  <w:style w:type="character" w:customStyle="1" w:styleId="st1">
    <w:name w:val="st1"/>
    <w:rsid w:val="00C03A74"/>
  </w:style>
  <w:style w:type="paragraph" w:styleId="Lista">
    <w:name w:val="List"/>
    <w:basedOn w:val="Textbody"/>
    <w:unhideWhenUsed/>
    <w:rsid w:val="00C03A7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649216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50</TotalTime>
  <Pages>25</Pages>
  <Words>8057</Words>
  <Characters>52784</Characters>
  <Application>Microsoft Office Word</Application>
  <DocSecurity>0</DocSecurity>
  <Lines>439</Lines>
  <Paragraphs>121</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60720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20</cp:revision>
  <cp:lastPrinted>2022-07-13T10:55:00Z</cp:lastPrinted>
  <dcterms:created xsi:type="dcterms:W3CDTF">2022-07-13T08:52:00Z</dcterms:created>
  <dcterms:modified xsi:type="dcterms:W3CDTF">2022-07-13T10:55:00Z</dcterms:modified>
</cp:coreProperties>
</file>