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125C2">
        <w:trPr>
          <w:trHeight w:val="411"/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B4FC4">
              <w:rPr>
                <w:rFonts w:ascii="Arial Narrow" w:hAnsi="Arial Narrow" w:cs="Arial"/>
                <w:b/>
                <w:sz w:val="20"/>
                <w:szCs w:val="20"/>
              </w:rPr>
              <w:t>Aparat do amplifikacji DNA metodą PCR w czasie rzeczywistym (PQPCR)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125C2" w:rsidRDefault="006125C2" w:rsidP="006125C2">
      <w:pPr>
        <w:rPr>
          <w:rFonts w:asciiTheme="minorHAnsi" w:hAnsiTheme="minorHAnsi"/>
          <w:b/>
          <w:sz w:val="22"/>
          <w:szCs w:val="22"/>
        </w:rPr>
      </w:pPr>
    </w:p>
    <w:p w:rsidR="006125C2" w:rsidRDefault="006125C2" w:rsidP="006125C2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6125C2" w:rsidRDefault="006125C2" w:rsidP="006125C2">
      <w:pPr>
        <w:rPr>
          <w:rFonts w:asciiTheme="minorHAnsi" w:hAnsiTheme="minorHAnsi"/>
          <w:b/>
          <w:sz w:val="22"/>
          <w:szCs w:val="22"/>
        </w:rPr>
      </w:pPr>
    </w:p>
    <w:p w:rsidR="006125C2" w:rsidRPr="004C3AB9" w:rsidRDefault="006125C2" w:rsidP="006125C2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6125C2" w:rsidRPr="00A219DE" w:rsidTr="006125C2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260152" w:rsidRDefault="006125C2" w:rsidP="006125C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6125C2" w:rsidRPr="00260152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260152" w:rsidRDefault="006125C2" w:rsidP="006125C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6125C2" w:rsidRPr="00260152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260152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260152" w:rsidRDefault="006125C2" w:rsidP="006125C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6125C2" w:rsidRPr="00A219DE" w:rsidTr="006125C2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260152" w:rsidRDefault="006125C2" w:rsidP="006125C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6125C2" w:rsidRPr="00A219DE" w:rsidTr="006125C2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Urządzenie umożliwia przeprowadzanie ilościowej reakcji PCR w czasie rzeczywistym z użyciem barwników fluorescencyjnych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Jednoczesna amp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lifikacja i detekcja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 xml:space="preserve">do 96 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prób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(opcjonalnie, w zależności od </w:t>
            </w:r>
            <w:r>
              <w:rPr>
                <w:rFonts w:ascii="Arial Narrow" w:hAnsi="Arial Narrow" w:cs="Arial"/>
                <w:sz w:val="20"/>
                <w:szCs w:val="20"/>
              </w:rPr>
              <w:t>dostarczonego bloku) na płytce  96 -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dołko</w:t>
            </w:r>
            <w:r>
              <w:rPr>
                <w:rFonts w:ascii="Arial Narrow" w:hAnsi="Arial Narrow" w:cs="Arial"/>
                <w:sz w:val="20"/>
                <w:szCs w:val="20"/>
              </w:rPr>
              <w:t>wej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(bi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łych / przezroczystych) lub paskach / stripach (po 8 probówek)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Zakres objętości mieszany reakcyjnej, w której można przeprowadzić reakcję PCR: </w:t>
            </w:r>
          </w:p>
          <w:p w:rsidR="006125C2" w:rsidRPr="00E84520" w:rsidRDefault="006125C2" w:rsidP="006125C2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10 – 100µl dla bloku 96 dołków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samodzielnej wymiany bloków bez utraty parametrów technicznych urządzenia takich jak ilość możliwych do wykorz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stania przy analizie kanałów detekcji / wzbudzenia. Brak konieczności kalibracji urządzenia po wymianie bloku.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Urządzenie nie wymaga regularnego czyszczenia ani przeprowadzania żadnych okresowych kalibracji systemu optycznego zwi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ą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zanych z wykorzystaniem różnych barwników fluorescencyjnych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pStyle w:val="Tekstpodstawowy"/>
              <w:widowControl/>
              <w:suppressAutoHyphens w:val="0"/>
              <w:autoSpaceDN/>
              <w:spacing w:after="0"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Urządzenie </w:t>
            </w:r>
            <w:proofErr w:type="gramStart"/>
            <w:r w:rsidRPr="00C53456">
              <w:rPr>
                <w:rFonts w:ascii="Arial Narrow" w:hAnsi="Arial Narrow" w:cs="Arial"/>
                <w:sz w:val="20"/>
                <w:szCs w:val="20"/>
              </w:rPr>
              <w:t>nie wymagające</w:t>
            </w:r>
            <w:proofErr w:type="gramEnd"/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 normalizacji z barwnikiem referencyjnym typu 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Rox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Szybkość nagrzewania bloku: do 4,4°C /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sek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(dla bloku 96-dołkowego)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Szybkość chłodzenia bloku: do 2,2°C /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sek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(dla bloku 96-dołkowego)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Materiał, z jakiego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wykonany jest blok: srebro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Blok 96 dołkowy wyposażony 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w: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podstawę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płytki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elementy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Peltiera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(6 sztuk)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element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chłodzący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korektor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cieplny zapewniający wydajne i równomierne przenikanie ciepła (wysoką homogenność bloku) – warstwa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typu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Therma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>-Base</w:t>
            </w:r>
          </w:p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8709A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Zakres temperatur bloku: 37 - 95°C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przeprowadzenia krzywej topnienia w zakresie 20 - 95°C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Homogenność termiczna bloku: ±0,4°C w ciągu 60 sekund od momentu osiągnięcia temperatury docelowej (72°C)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Dokładność termiczna bloku: 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±0,3°C w ciągu 10 sekund od momentu osiągnięcia temperatury docelowej (55°C - 95°C)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±0,2°C w ciągu 60 sekund od momentu osiągnięcia temperatury docelowej (55°C - 95°C)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System detekcyjny – kamera CCD wysokiej czułości, umożliwiająca jednoczesny odczyt wszystkich analizowanych prób.</w:t>
            </w:r>
          </w:p>
          <w:p w:rsidR="006125C2" w:rsidRPr="00C8709A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Czas pomiaru fluorescencji wszystkich prób przez kamerę CCD w trybie dynamicznym lub manualnym, w zakresie 10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msek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do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10 sek.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5 kanałów wzbudzenia światła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6 kanałów detekcji fluorescencji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8709A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elastycznego doboru filtrów wzbudzania/emisji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Element wzbudzający – pojedyncza dioda LED umożliwiająca jednoczesne wzbudzenie wszystkich prób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System wzbudzania/detekcji umożliwiający oświetlenie wszystkich dołków w ten sam sposób (pod tym samym kątem). Brak efektu brzegowego.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Średnie STD powtórzeń dla punktów w zakresie stężeń 1-10E9 równy mniej niż 0.2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Cq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Urządzenie wyposażone w wewnętrzny czytnik kodów kreskowych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System otwarty, umożliwiający analizę kwasów nukleinowych przy pomocy różnych barwników i sond molekularnych: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SYBR Green I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Barwnik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interkalujący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typu do analizy HRM (High Resolution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Melting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>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Sonda hydrolizująca typu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TaqMan</w:t>
            </w:r>
            <w:proofErr w:type="spellEnd"/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Sonda Hybrydyzująca typu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HybProbe</w:t>
            </w:r>
            <w:proofErr w:type="spellEnd"/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Sonda Simple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Probe</w:t>
            </w:r>
            <w:proofErr w:type="spellEnd"/>
          </w:p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Oprogramowanie urządzenia umożliwia wykonanie: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Pomiar ilości kopii DNA w badanej próbie (na podstawie porównania z krzywą standardową –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external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lub in-run)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Pomiar poziomu ekspresji genu badanego w stosunku do genu referencyjnego (w ujęciu „one-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click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>” Basic lub w pełni el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stycznym Advanced, z uwzględnieniem wydajności wyznaczonej na podstawie krzywej standardowej)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Analizy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genotypowania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– analiza genotypu na podstawie temperatury topnienia produktu (na podstawie porównania ze standardem –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external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lub in-run, na podstawie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podobieństawa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– auto-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group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>)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Analizy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Gene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Scanning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/ High Resolution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Melting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służąca do analizy mutacji (w tym SNP) przy pomocy specjalnego barwnika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interkalującego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6125C2" w:rsidRPr="00143211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Analizy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genotypowania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typu end-point z grupowaniem na podstawie standardów lub auto-group, możliwość analizy bez konieczności przeprowadzania reakcji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pcr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(PCR w tradycyjnym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termocyklerze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>)</w:t>
            </w:r>
          </w:p>
          <w:p w:rsidR="006125C2" w:rsidRPr="001B1414" w:rsidRDefault="006125C2" w:rsidP="006125C2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Porównania płytek z wynikami dla wszystkich dostępnych aplikacji z uzyskaniem wyniku w oprogramowaniu typu MS E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x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cel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62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Możliwość wykonania analizy 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Gene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Scanning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 / High Resolution 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Melting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 bez konieczności wprowadzania standardów o znanym genotypie; poszczególne krzywe mogą być łączone w grupy automatycznie, na podstawie swojego podobieństwa.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56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pStyle w:val="Tekstpodstawowy"/>
              <w:widowControl/>
              <w:suppressAutoHyphens w:val="0"/>
              <w:autoSpaceDN/>
              <w:spacing w:after="0"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>Możliwość obserwowania przeprowadzanej reakcji PCR na bieżąco podczas jej trwania (online) bez konieczności wcześniejszego opisu próbek.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55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pStyle w:val="Tekstpodstawowy"/>
              <w:widowControl/>
              <w:suppressAutoHyphens w:val="0"/>
              <w:autoSpaceDN/>
              <w:spacing w:after="0"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>Możliwość sterowania przebiegiem reakcji w czasie jej trwania poprzez dodanie dowolnej liczby dodatkowych cykli lub wcześniejsze jej zakończenie zależnie od obserwowanych na bieżąco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55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pStyle w:val="Tekstpodstawowy"/>
              <w:widowControl/>
              <w:suppressAutoHyphens w:val="0"/>
              <w:autoSpaceDN/>
              <w:spacing w:after="0"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>Możliwość śledzenia fluorescencji dla każdej próbki podczas reakcji zarówno w zależności od czasu (krzywe fluorescencji) jak i cyklu (krzywe amplifikacji).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C53456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C53456">
              <w:rPr>
                <w:rFonts w:ascii="Arial Narrow" w:hAnsi="Arial Narrow" w:cs="Arial"/>
                <w:sz w:val="20"/>
                <w:szCs w:val="20"/>
              </w:rPr>
              <w:t>Oprogramowanie aparatu i baza danych z opcją automatycznego zapisywania informacji o wszystkich zmianach w plikach z otrz</w:t>
            </w:r>
            <w:r w:rsidRPr="00C53456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53456">
              <w:rPr>
                <w:rFonts w:ascii="Arial Narrow" w:hAnsi="Arial Narrow" w:cs="Arial"/>
                <w:sz w:val="20"/>
                <w:szCs w:val="20"/>
              </w:rPr>
              <w:t>manymi wynikami dokonywanych przez użytkowników aparatu (tzw. „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traceable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53456">
              <w:rPr>
                <w:rFonts w:ascii="Arial Narrow" w:hAnsi="Arial Narrow" w:cs="Arial"/>
                <w:sz w:val="20"/>
                <w:szCs w:val="20"/>
              </w:rPr>
              <w:t>database</w:t>
            </w:r>
            <w:proofErr w:type="spellEnd"/>
            <w:r w:rsidRPr="00C53456">
              <w:rPr>
                <w:rFonts w:ascii="Arial Narrow" w:hAnsi="Arial Narrow" w:cs="Arial"/>
                <w:sz w:val="20"/>
                <w:szCs w:val="20"/>
              </w:rPr>
              <w:t>”) – zgodność z wymaganiami normy 21 CFR część 11 (bez funkcji podpisu elektronicznego).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instalacji oprogramowania na osobnym komputerze oraz przeniesienia pełnej bazy danych – nie ma konieczności anal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zy eksperymentów na jednostce </w:t>
            </w: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sterującej 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Brak konieczności odnawiania licencji na oprogramowanie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instalacji dodatkowych baz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tworzenie grup użytkowników o różnych poziomach dostępu.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tworzenia makr oraz szablonów elementów eksperymentu.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automatycznego definiowania próbek krzywej standardowej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Dostępność uniwersalnych obiektów kompensacji koloru.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Możliwość utworzenia pliku z podsumowaniem reakcji PCR (m.in. parametry reakcji PCR, opis próbek, wyniki, wykresy) w </w:t>
            </w: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form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43211">
              <w:rPr>
                <w:rFonts w:ascii="Arial Narrow" w:hAnsi="Arial Narrow" w:cs="Arial"/>
                <w:sz w:val="20"/>
                <w:szCs w:val="20"/>
              </w:rPr>
              <w:t>cie .pdf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Możliwość dokumentacji (wydruk / </w:t>
            </w: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plik .pdf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) wyniku </w:t>
            </w:r>
            <w:proofErr w:type="spellStart"/>
            <w:r w:rsidRPr="00143211">
              <w:rPr>
                <w:rFonts w:ascii="Arial Narrow" w:hAnsi="Arial Narrow" w:cs="Arial"/>
                <w:sz w:val="20"/>
                <w:szCs w:val="20"/>
              </w:rPr>
              <w:t>autotestu</w:t>
            </w:r>
            <w:proofErr w:type="spell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przeprowadzanego każdorazowo po uruchomieniu aparatu.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Możliwość integracji aparatu z laboratoryjnym systemem informatycznym użytkownika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>Dostępność opracowanych przez producenta procedur kwalifikacji instalacyjnej i operacyjnej aparatu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6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Producent aparatu posiada jednocześnie w swojej ofercie katalogowej zestawy </w:t>
            </w:r>
            <w:proofErr w:type="gramStart"/>
            <w:r w:rsidRPr="00143211">
              <w:rPr>
                <w:rFonts w:ascii="Arial Narrow" w:hAnsi="Arial Narrow" w:cs="Arial"/>
                <w:sz w:val="20"/>
                <w:szCs w:val="20"/>
              </w:rPr>
              <w:t>odczynników  dostosowane</w:t>
            </w:r>
            <w:proofErr w:type="gramEnd"/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 i zoptymalizowane do pracy na oferowanym aparacie bez względu na rodzaj używanego bloku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43211">
              <w:rPr>
                <w:rFonts w:ascii="Arial Narrow" w:hAnsi="Arial Narrow" w:cs="Arial"/>
                <w:sz w:val="20"/>
                <w:szCs w:val="20"/>
              </w:rPr>
              <w:t xml:space="preserve">Aparat wyposażony w komputer do sterowania aparatem i analizy </w:t>
            </w:r>
            <w:r>
              <w:rPr>
                <w:rFonts w:ascii="Arial Narrow" w:hAnsi="Arial Narrow" w:cs="Arial"/>
                <w:sz w:val="20"/>
                <w:szCs w:val="20"/>
              </w:rPr>
              <w:t>danych.  Dodatkowo Zamawiający wymaga dostarczenia doda</w:t>
            </w: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>
              <w:rPr>
                <w:rFonts w:ascii="Arial Narrow" w:hAnsi="Arial Narrow" w:cs="Arial"/>
                <w:sz w:val="20"/>
                <w:szCs w:val="20"/>
              </w:rPr>
              <w:t>kowego komputera do wykonywania analizy.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Aparat wyposażony w zasilacz awaryjny – ups.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143211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Aparat wyposażony w wytrząsarkę:</w:t>
            </w:r>
          </w:p>
          <w:p w:rsidR="006125C2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- praca ciągła lub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 xml:space="preserve">impulsowa , 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możliwość osiągnięcia prędkości pracy 300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obr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./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min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.,</w:t>
            </w:r>
          </w:p>
          <w:p w:rsidR="006125C2" w:rsidRDefault="006125C2" w:rsidP="006125C2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wyposażona w nakładkę do wytrząsania płytek PCR 96 - dołkowych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Default="006125C2" w:rsidP="006125C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D71F66" w:rsidRDefault="006125C2" w:rsidP="006125C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41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0E6EB3" w:rsidRDefault="006125C2" w:rsidP="006125C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6125C2" w:rsidRPr="00A219DE" w:rsidTr="006125C2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0E6EB3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0E6EB3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0E6EB3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0E6EB3" w:rsidRDefault="006125C2" w:rsidP="006125C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6125C2" w:rsidRPr="00791535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6125C2" w:rsidRPr="00791535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34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6125C2" w:rsidRPr="00A219DE" w:rsidTr="006125C2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Default="006125C2" w:rsidP="006125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</w:t>
            </w:r>
            <w:r>
              <w:rPr>
                <w:rFonts w:ascii="Arial Narrow" w:hAnsi="Arial Narrow" w:cs="Times New Roman"/>
                <w:sz w:val="20"/>
                <w:szCs w:val="20"/>
              </w:rPr>
              <w:t>ługość udzielanej gwarancji:</w:t>
            </w:r>
          </w:p>
          <w:p w:rsidR="006125C2" w:rsidRPr="00791535" w:rsidRDefault="006125C2" w:rsidP="006125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minimum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25C2" w:rsidRPr="00A219DE" w:rsidTr="006125C2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25C2" w:rsidRPr="00791535" w:rsidRDefault="006125C2" w:rsidP="006125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6125C2" w:rsidRPr="00791535" w:rsidRDefault="006125C2" w:rsidP="006125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2D9" w:rsidRDefault="003552D9">
      <w:r>
        <w:separator/>
      </w:r>
    </w:p>
  </w:endnote>
  <w:endnote w:type="continuationSeparator" w:id="0">
    <w:p w:rsidR="003552D9" w:rsidRDefault="00355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25C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2D9" w:rsidRDefault="003552D9">
      <w:r>
        <w:rPr>
          <w:color w:val="000000"/>
        </w:rPr>
        <w:separator/>
      </w:r>
    </w:p>
  </w:footnote>
  <w:footnote w:type="continuationSeparator" w:id="0">
    <w:p w:rsidR="003552D9" w:rsidRDefault="00355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6125C2" w:rsidRDefault="0009028F">
    <w:pPr>
      <w:pStyle w:val="Nagwek"/>
      <w:rPr>
        <w:rFonts w:ascii="Arial Narrow" w:hAnsi="Arial Narrow"/>
        <w:b/>
        <w:sz w:val="22"/>
      </w:rPr>
    </w:pPr>
    <w:r w:rsidRPr="006125C2">
      <w:rPr>
        <w:rFonts w:ascii="Arial Narrow" w:hAnsi="Arial Narrow"/>
        <w:b/>
        <w:sz w:val="22"/>
      </w:rPr>
      <w:t xml:space="preserve">Sprawa nr </w:t>
    </w:r>
    <w:r w:rsidR="006125C2">
      <w:rPr>
        <w:rFonts w:ascii="Arial Narrow" w:hAnsi="Arial Narrow"/>
        <w:b/>
        <w:sz w:val="22"/>
      </w:rPr>
      <w:t>92/2022</w:t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</w:r>
    <w:r w:rsidR="006125C2">
      <w:rPr>
        <w:rFonts w:ascii="Arial Narrow" w:hAnsi="Arial Narrow"/>
        <w:b/>
        <w:sz w:val="22"/>
      </w:rPr>
      <w:tab/>
      <w:t>załącznik nr 7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0"/>
  </w:num>
  <w:num w:numId="5">
    <w:abstractNumId w:val="12"/>
  </w:num>
  <w:num w:numId="6">
    <w:abstractNumId w:val="4"/>
  </w:num>
  <w:num w:numId="7">
    <w:abstractNumId w:val="11"/>
  </w:num>
  <w:num w:numId="8">
    <w:abstractNumId w:val="15"/>
  </w:num>
  <w:num w:numId="9">
    <w:abstractNumId w:val="1"/>
  </w:num>
  <w:num w:numId="10">
    <w:abstractNumId w:val="10"/>
  </w:num>
  <w:num w:numId="11">
    <w:abstractNumId w:val="13"/>
  </w:num>
  <w:num w:numId="12">
    <w:abstractNumId w:val="7"/>
  </w:num>
  <w:num w:numId="13">
    <w:abstractNumId w:val="19"/>
  </w:num>
  <w:num w:numId="14">
    <w:abstractNumId w:val="3"/>
  </w:num>
  <w:num w:numId="15">
    <w:abstractNumId w:val="14"/>
  </w:num>
  <w:num w:numId="16">
    <w:abstractNumId w:val="9"/>
  </w:num>
  <w:num w:numId="17">
    <w:abstractNumId w:val="6"/>
  </w:num>
  <w:num w:numId="18">
    <w:abstractNumId w:val="2"/>
  </w:num>
  <w:num w:numId="19">
    <w:abstractNumId w:val="8"/>
  </w:num>
  <w:num w:numId="20">
    <w:abstractNumId w:val="5"/>
  </w:num>
  <w:num w:numId="2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52D9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5C2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4B3F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3504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CF9B1-4054-4F37-A003-E4DB5DB2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1302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103</cp:revision>
  <cp:lastPrinted>2022-01-14T09:43:00Z</cp:lastPrinted>
  <dcterms:created xsi:type="dcterms:W3CDTF">2020-04-24T09:30:00Z</dcterms:created>
  <dcterms:modified xsi:type="dcterms:W3CDTF">2022-07-04T06:10:00Z</dcterms:modified>
</cp:coreProperties>
</file>