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01A" w:rsidRPr="0002001A" w:rsidRDefault="0002001A" w:rsidP="0002001A">
      <w:pPr>
        <w:tabs>
          <w:tab w:val="left" w:pos="851"/>
        </w:tabs>
        <w:ind w:left="567" w:right="-1" w:hanging="567"/>
        <w:jc w:val="right"/>
        <w:outlineLvl w:val="0"/>
        <w:rPr>
          <w:rFonts w:ascii="Tahoma" w:hAnsi="Tahoma" w:cs="Tahoma"/>
        </w:rPr>
      </w:pPr>
      <w:r w:rsidRPr="0002001A">
        <w:rPr>
          <w:rFonts w:ascii="Tahoma" w:hAnsi="Tahoma" w:cs="Tahoma"/>
        </w:rPr>
        <w:t>Załącznik A do SWZ</w:t>
      </w:r>
    </w:p>
    <w:p w:rsidR="0002001A" w:rsidRPr="0002001A" w:rsidRDefault="0002001A" w:rsidP="0002001A">
      <w:pPr>
        <w:tabs>
          <w:tab w:val="left" w:pos="851"/>
        </w:tabs>
        <w:ind w:left="567" w:right="-1" w:hanging="567"/>
        <w:jc w:val="center"/>
        <w:outlineLvl w:val="0"/>
        <w:rPr>
          <w:rFonts w:ascii="Tahoma" w:hAnsi="Tahoma" w:cs="Tahoma"/>
          <w:b/>
          <w:sz w:val="32"/>
          <w:szCs w:val="32"/>
          <w:u w:val="single"/>
        </w:rPr>
      </w:pPr>
      <w:r w:rsidRPr="0002001A">
        <w:rPr>
          <w:rFonts w:ascii="Tahoma" w:hAnsi="Tahoma" w:cs="Tahoma"/>
          <w:b/>
          <w:sz w:val="32"/>
          <w:szCs w:val="32"/>
        </w:rPr>
        <w:t>Opis przedmiotu zamówienia</w:t>
      </w:r>
    </w:p>
    <w:p w:rsidR="0002001A" w:rsidRDefault="0002001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50" w:type="dxa"/>
        <w:tblInd w:w="-252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67"/>
        <w:gridCol w:w="7283"/>
      </w:tblGrid>
      <w:tr w:rsidR="00293C12" w:rsidRPr="00293C12" w:rsidTr="00293C12">
        <w:trPr>
          <w:trHeight w:val="844"/>
        </w:trPr>
        <w:tc>
          <w:tcPr>
            <w:tcW w:w="9750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FFFF99"/>
          </w:tcPr>
          <w:p w:rsidR="00293C12" w:rsidRPr="00293C12" w:rsidRDefault="00293C12" w:rsidP="00293C1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pacing w:val="-1"/>
                <w:position w:val="-1"/>
                <w:sz w:val="32"/>
                <w:szCs w:val="32"/>
              </w:rPr>
            </w:pPr>
            <w:r w:rsidRPr="00293C12">
              <w:rPr>
                <w:rFonts w:ascii="Arial" w:eastAsia="Calibri" w:hAnsi="Arial" w:cs="Arial"/>
                <w:b/>
                <w:spacing w:val="-1"/>
                <w:position w:val="-1"/>
                <w:sz w:val="32"/>
                <w:szCs w:val="32"/>
              </w:rPr>
              <w:t xml:space="preserve">OPIS </w:t>
            </w:r>
          </w:p>
          <w:p w:rsidR="00293C12" w:rsidRPr="00293C12" w:rsidRDefault="00293C12" w:rsidP="00293C1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pacing w:val="-1"/>
                <w:position w:val="-1"/>
                <w:sz w:val="32"/>
                <w:szCs w:val="32"/>
              </w:rPr>
            </w:pPr>
            <w:r w:rsidRPr="00293C12">
              <w:rPr>
                <w:rFonts w:ascii="Arial" w:eastAsia="Calibri" w:hAnsi="Arial" w:cs="Arial"/>
                <w:b/>
                <w:spacing w:val="-1"/>
                <w:position w:val="-1"/>
                <w:sz w:val="32"/>
                <w:szCs w:val="32"/>
              </w:rPr>
              <w:t>przedmiotu zamówienia</w:t>
            </w:r>
          </w:p>
          <w:p w:rsidR="00293C12" w:rsidRPr="00293C12" w:rsidRDefault="00293C12" w:rsidP="00293C1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pacing w:val="-1"/>
                <w:position w:val="-1"/>
                <w:sz w:val="24"/>
                <w:szCs w:val="24"/>
              </w:rPr>
            </w:pPr>
            <w:proofErr w:type="spellStart"/>
            <w:r w:rsidRPr="00293C12">
              <w:rPr>
                <w:rFonts w:ascii="Arial" w:eastAsia="Calibri" w:hAnsi="Arial" w:cs="Arial"/>
                <w:bCs/>
                <w:spacing w:val="-1"/>
                <w:position w:val="-1"/>
                <w:sz w:val="24"/>
                <w:szCs w:val="24"/>
              </w:rPr>
              <w:t>Cytometr</w:t>
            </w:r>
            <w:proofErr w:type="spellEnd"/>
            <w:r w:rsidRPr="00293C12">
              <w:rPr>
                <w:rFonts w:ascii="Arial" w:eastAsia="Calibri" w:hAnsi="Arial" w:cs="Arial"/>
                <w:bCs/>
                <w:spacing w:val="-1"/>
                <w:position w:val="-1"/>
                <w:sz w:val="24"/>
                <w:szCs w:val="24"/>
              </w:rPr>
              <w:t xml:space="preserve"> przepływowy z obrazowaniem z dwoma laserami: 488nm i 642nm</w:t>
            </w:r>
            <w:r w:rsidRPr="00293C12">
              <w:rPr>
                <w:rFonts w:ascii="Arial" w:eastAsia="Calibri" w:hAnsi="Arial" w:cs="Arial"/>
                <w:b/>
                <w:spacing w:val="-1"/>
                <w:position w:val="-1"/>
                <w:sz w:val="24"/>
                <w:szCs w:val="24"/>
              </w:rPr>
              <w:t xml:space="preserve">, </w:t>
            </w:r>
            <w:r w:rsidRPr="00293C12">
              <w:rPr>
                <w:rFonts w:ascii="Arial" w:eastAsia="Calibri" w:hAnsi="Arial" w:cs="Arial"/>
                <w:bCs/>
                <w:spacing w:val="-1"/>
                <w:position w:val="-1"/>
                <w:sz w:val="24"/>
                <w:szCs w:val="24"/>
              </w:rPr>
              <w:t>z modułem oprogramowania Machine Learning (uczenie maszynowe), podajnikiem probówek o poj. 1,5ml wraz z instalacją</w:t>
            </w:r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70"/>
        </w:trPr>
        <w:tc>
          <w:tcPr>
            <w:tcW w:w="2467" w:type="dxa"/>
          </w:tcPr>
          <w:p w:rsidR="00293C12" w:rsidRPr="00293C12" w:rsidRDefault="00293C12" w:rsidP="00293C12">
            <w:pPr>
              <w:spacing w:before="60" w:after="60" w:line="240" w:lineRule="auto"/>
              <w:rPr>
                <w:rFonts w:ascii="Arial" w:eastAsia="Batang" w:hAnsi="Arial" w:cs="Arial"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  <w:t>Opis produktu:</w:t>
            </w:r>
          </w:p>
        </w:tc>
        <w:tc>
          <w:tcPr>
            <w:tcW w:w="7283" w:type="dxa"/>
          </w:tcPr>
          <w:p w:rsidR="00293C12" w:rsidRPr="00293C12" w:rsidRDefault="00293C12" w:rsidP="00293C12">
            <w:pPr>
              <w:spacing w:before="60" w:after="60" w:line="240" w:lineRule="auto"/>
              <w:rPr>
                <w:rFonts w:ascii="Arial" w:eastAsia="Batang" w:hAnsi="Arial" w:cs="Arial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sz w:val="18"/>
                <w:szCs w:val="18"/>
                <w:lang w:eastAsia="ko-KR"/>
              </w:rPr>
              <w:t xml:space="preserve">Wykorzystujący ogniskowanie hydrodynamiczne </w:t>
            </w:r>
            <w:proofErr w:type="spellStart"/>
            <w:r w:rsidRPr="00293C12">
              <w:rPr>
                <w:rFonts w:ascii="Arial" w:eastAsia="Batang" w:hAnsi="Arial" w:cs="Arial"/>
                <w:sz w:val="18"/>
                <w:szCs w:val="18"/>
                <w:lang w:eastAsia="ko-KR"/>
              </w:rPr>
              <w:t>cytometr</w:t>
            </w:r>
            <w:proofErr w:type="spellEnd"/>
            <w:r w:rsidRPr="00293C12">
              <w:rPr>
                <w:rFonts w:ascii="Arial" w:eastAsia="Batang" w:hAnsi="Arial" w:cs="Arial"/>
                <w:sz w:val="18"/>
                <w:szCs w:val="18"/>
                <w:lang w:eastAsia="ko-KR"/>
              </w:rPr>
              <w:t xml:space="preserve"> przepływowy z obrazowaniem</w:t>
            </w:r>
          </w:p>
          <w:p w:rsidR="00293C12" w:rsidRPr="00293C12" w:rsidRDefault="00293C12" w:rsidP="00293C12">
            <w:pPr>
              <w:spacing w:before="60" w:after="60" w:line="240" w:lineRule="auto"/>
              <w:rPr>
                <w:rFonts w:ascii="Arial" w:eastAsia="Batang" w:hAnsi="Arial" w:cs="Arial"/>
                <w:sz w:val="18"/>
                <w:szCs w:val="18"/>
                <w:lang w:eastAsia="ko-KR"/>
              </w:rPr>
            </w:pPr>
          </w:p>
          <w:p w:rsidR="00293C12" w:rsidRPr="00293C12" w:rsidRDefault="00293C12" w:rsidP="00293C12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eastAsia="Calibri" w:hAnsi="Helvetica" w:cs="Helvetica"/>
                <w:sz w:val="20"/>
                <w:szCs w:val="20"/>
              </w:rPr>
            </w:pPr>
            <w:r w:rsidRPr="00293C12">
              <w:rPr>
                <w:rFonts w:ascii="Arial" w:eastAsia="Times New Roman" w:hAnsi="Arial" w:cs="Arial"/>
                <w:sz w:val="18"/>
                <w:szCs w:val="18"/>
                <w:u w:val="single"/>
                <w:lang w:eastAsia="pl-PL"/>
              </w:rPr>
              <w:t xml:space="preserve">Zakres i szerokość kanałów fluorescencyjnych dla lasera niebieskiego 488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u w:val="single"/>
                <w:lang w:eastAsia="pl-PL"/>
              </w:rPr>
              <w:t>nm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</w:t>
            </w:r>
            <w:r w:rsidRPr="00293C12">
              <w:rPr>
                <w:rFonts w:ascii="Helvetica" w:eastAsia="Calibri" w:hAnsi="Helvetica" w:cs="Helvetica"/>
                <w:sz w:val="20"/>
                <w:szCs w:val="20"/>
              </w:rPr>
              <w:t xml:space="preserve"> </w:t>
            </w:r>
          </w:p>
          <w:p w:rsidR="00293C12" w:rsidRPr="00293C12" w:rsidRDefault="00293C12" w:rsidP="00293C12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eastAsia="Calibri" w:hAnsi="Helvetica" w:cs="Helvetica"/>
                <w:sz w:val="20"/>
                <w:szCs w:val="20"/>
              </w:rPr>
            </w:pPr>
          </w:p>
          <w:p w:rsidR="00293C12" w:rsidRPr="00293C12" w:rsidRDefault="00293C12" w:rsidP="00293C12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eastAsia="Calibri" w:hAnsi="Helvetica" w:cs="Helvetica"/>
                <w:sz w:val="20"/>
                <w:szCs w:val="20"/>
              </w:rPr>
            </w:pPr>
            <w:r w:rsidRPr="00293C12">
              <w:rPr>
                <w:rFonts w:ascii="Helvetica" w:eastAsia="Calibri" w:hAnsi="Helvetica" w:cs="Helvetica"/>
                <w:sz w:val="20"/>
                <w:szCs w:val="20"/>
              </w:rPr>
              <w:t xml:space="preserve">457nm / 45nm- Ch1 kanał </w:t>
            </w:r>
            <w:proofErr w:type="spellStart"/>
            <w:r w:rsidRPr="00293C12">
              <w:rPr>
                <w:rFonts w:ascii="Helvetica" w:eastAsia="Calibri" w:hAnsi="Helvetica" w:cs="Helvetica"/>
                <w:sz w:val="20"/>
                <w:szCs w:val="20"/>
              </w:rPr>
              <w:t>brighfield</w:t>
            </w:r>
            <w:proofErr w:type="spellEnd"/>
            <w:r w:rsidRPr="00293C12">
              <w:rPr>
                <w:rFonts w:ascii="Helvetica" w:eastAsia="Calibri" w:hAnsi="Helvetica" w:cs="Helvetica"/>
                <w:sz w:val="20"/>
                <w:szCs w:val="20"/>
              </w:rPr>
              <w:t xml:space="preserve"> </w:t>
            </w:r>
          </w:p>
          <w:p w:rsidR="00293C12" w:rsidRPr="00293C12" w:rsidRDefault="00293C12" w:rsidP="00293C12">
            <w:pPr>
              <w:spacing w:after="0" w:line="276" w:lineRule="auto"/>
              <w:contextualSpacing/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</w:pPr>
            <w:r w:rsidRPr="00293C12"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  <w:t>528nm / 65nm, -Ch2</w:t>
            </w:r>
          </w:p>
          <w:p w:rsidR="00293C12" w:rsidRPr="00293C12" w:rsidRDefault="00293C12" w:rsidP="00293C12">
            <w:pPr>
              <w:spacing w:after="0" w:line="276" w:lineRule="auto"/>
              <w:contextualSpacing/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</w:pPr>
            <w:r w:rsidRPr="00293C12"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  <w:t>577nm / 35nm, -Ch3</w:t>
            </w:r>
          </w:p>
          <w:p w:rsidR="00293C12" w:rsidRPr="00293C12" w:rsidRDefault="00293C12" w:rsidP="00293C12">
            <w:pPr>
              <w:spacing w:after="0" w:line="276" w:lineRule="auto"/>
              <w:contextualSpacing/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</w:pPr>
            <w:r w:rsidRPr="00293C12"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  <w:t>610nm / 30nm, -Ch4</w:t>
            </w:r>
          </w:p>
          <w:p w:rsidR="00293C12" w:rsidRPr="00293C12" w:rsidRDefault="00293C12" w:rsidP="00293C12">
            <w:pPr>
              <w:spacing w:after="0" w:line="276" w:lineRule="auto"/>
              <w:ind w:right="931"/>
              <w:contextualSpacing/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</w:pPr>
            <w:r w:rsidRPr="00293C12"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  <w:t>702nm / 85nm, -Ch5</w:t>
            </w:r>
          </w:p>
          <w:p w:rsidR="00293C12" w:rsidRPr="00293C12" w:rsidRDefault="00293C12" w:rsidP="00293C12">
            <w:pPr>
              <w:spacing w:before="60" w:after="60" w:line="240" w:lineRule="auto"/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</w:pPr>
            <w:r w:rsidRPr="00293C12"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  <w:t>762nm / 35nm.-Ch6 oraz SSC</w:t>
            </w:r>
          </w:p>
          <w:p w:rsidR="00293C12" w:rsidRPr="00293C12" w:rsidRDefault="00293C12" w:rsidP="00293C12">
            <w:pPr>
              <w:spacing w:before="60" w:after="60" w:line="240" w:lineRule="auto"/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</w:pPr>
          </w:p>
          <w:p w:rsidR="00293C12" w:rsidRPr="00293C12" w:rsidRDefault="00293C12" w:rsidP="00293C12">
            <w:pPr>
              <w:spacing w:before="60" w:after="60" w:line="240" w:lineRule="auto"/>
              <w:rPr>
                <w:rFonts w:ascii="Arial" w:eastAsia="Times New Roman" w:hAnsi="Arial" w:cs="Arial"/>
                <w:sz w:val="18"/>
                <w:szCs w:val="18"/>
                <w:u w:val="single"/>
                <w:lang w:eastAsia="pl-PL"/>
              </w:rPr>
            </w:pPr>
            <w:r w:rsidRPr="00293C12">
              <w:rPr>
                <w:rFonts w:ascii="Arial" w:eastAsia="Times New Roman" w:hAnsi="Arial" w:cs="Arial"/>
                <w:sz w:val="18"/>
                <w:szCs w:val="18"/>
                <w:u w:val="single"/>
                <w:lang w:eastAsia="pl-PL"/>
              </w:rPr>
              <w:t xml:space="preserve">Zakres i szerokość kanałów fluorescencyjnych dla lasera czerwonego 642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u w:val="single"/>
                <w:lang w:eastAsia="pl-PL"/>
              </w:rPr>
              <w:t>nm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u w:val="single"/>
                <w:lang w:eastAsia="pl-PL"/>
              </w:rPr>
              <w:t>:</w:t>
            </w:r>
          </w:p>
          <w:p w:rsidR="00293C12" w:rsidRPr="00293C12" w:rsidRDefault="00293C12" w:rsidP="00293C12">
            <w:pPr>
              <w:spacing w:after="0" w:line="276" w:lineRule="auto"/>
              <w:contextualSpacing/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</w:pPr>
            <w:r w:rsidRPr="00293C12"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  <w:t>702nm / 85nm, -Ch11</w:t>
            </w:r>
          </w:p>
          <w:p w:rsidR="00293C12" w:rsidRPr="00293C12" w:rsidRDefault="00293C12" w:rsidP="00293C12">
            <w:pPr>
              <w:spacing w:before="60" w:after="60" w:line="240" w:lineRule="auto"/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</w:pPr>
            <w:r w:rsidRPr="00293C12"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  <w:t>762nm / 35nm.-Ch12</w:t>
            </w:r>
          </w:p>
          <w:p w:rsidR="00293C12" w:rsidRPr="00293C12" w:rsidRDefault="00293C12" w:rsidP="00293C12">
            <w:pPr>
              <w:spacing w:before="60" w:after="60" w:line="240" w:lineRule="auto"/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</w:pPr>
          </w:p>
          <w:p w:rsidR="00293C12" w:rsidRPr="00293C12" w:rsidRDefault="00293C12" w:rsidP="00293C12">
            <w:pPr>
              <w:spacing w:before="60" w:after="60" w:line="240" w:lineRule="auto"/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</w:pPr>
            <w:r w:rsidRPr="00293C12">
              <w:rPr>
                <w:rFonts w:ascii="Helvetica" w:eastAsia="Calibri" w:hAnsi="Helvetica" w:cs="Helvetica"/>
                <w:sz w:val="20"/>
                <w:szCs w:val="20"/>
                <w:lang w:eastAsia="ko-KR"/>
              </w:rPr>
              <w:t xml:space="preserve">Jednostka sterująca urządzeniem zalecana przez producenta. </w:t>
            </w:r>
          </w:p>
          <w:p w:rsidR="00293C12" w:rsidRPr="00293C12" w:rsidRDefault="00293C12" w:rsidP="00293C12">
            <w:pPr>
              <w:spacing w:before="60" w:after="60" w:line="240" w:lineRule="auto"/>
              <w:rPr>
                <w:rFonts w:ascii="Arial" w:eastAsia="Batang" w:hAnsi="Arial" w:cs="Arial"/>
                <w:sz w:val="18"/>
                <w:szCs w:val="18"/>
                <w:lang w:eastAsia="ko-KR"/>
              </w:rPr>
            </w:pPr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2467" w:type="dxa"/>
          </w:tcPr>
          <w:p w:rsidR="00293C12" w:rsidRPr="00293C12" w:rsidRDefault="00293C12" w:rsidP="00293C12">
            <w:pPr>
              <w:spacing w:before="60" w:after="60" w:line="240" w:lineRule="auto"/>
              <w:rPr>
                <w:rFonts w:ascii="Arial" w:eastAsia="Batang" w:hAnsi="Arial" w:cs="Arial"/>
                <w:b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color w:val="FF0000"/>
                <w:sz w:val="18"/>
                <w:szCs w:val="18"/>
                <w:lang w:eastAsia="ko-KR"/>
              </w:rPr>
              <w:t>Wymiary urządzenia: Waga:</w:t>
            </w:r>
          </w:p>
        </w:tc>
        <w:tc>
          <w:tcPr>
            <w:tcW w:w="7283" w:type="dxa"/>
          </w:tcPr>
          <w:p w:rsidR="00293C12" w:rsidRPr="00293C12" w:rsidRDefault="00293C12" w:rsidP="00293C12">
            <w:pPr>
              <w:spacing w:after="0" w:line="276" w:lineRule="auto"/>
              <w:rPr>
                <w:rFonts w:ascii="Arial" w:eastAsia="Batang" w:hAnsi="Arial" w:cs="Arial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sz w:val="18"/>
                <w:szCs w:val="18"/>
                <w:lang w:eastAsia="ko-KR"/>
              </w:rPr>
              <w:t>Wymiary w mm:</w:t>
            </w:r>
          </w:p>
          <w:p w:rsidR="00293C12" w:rsidRPr="00293C12" w:rsidRDefault="00293C12" w:rsidP="00293C12">
            <w:pPr>
              <w:spacing w:after="60" w:line="240" w:lineRule="auto"/>
              <w:rPr>
                <w:rFonts w:ascii="VerdanaPro-Regular" w:eastAsia="Batang" w:hAnsi="VerdanaPro-Regular" w:cs="VerdanaPro-Regular"/>
                <w:sz w:val="18"/>
                <w:szCs w:val="18"/>
                <w:lang w:eastAsia="pl-PL"/>
              </w:rPr>
            </w:pPr>
            <w:r w:rsidRPr="00293C12">
              <w:rPr>
                <w:rFonts w:ascii="VerdanaPro-Regular" w:eastAsia="Batang" w:hAnsi="VerdanaPro-Regular" w:cs="VerdanaPro-Regular"/>
                <w:sz w:val="18"/>
                <w:szCs w:val="18"/>
                <w:lang w:eastAsia="pl-PL"/>
              </w:rPr>
              <w:t>szerokość: max. 470 mm x wysokość: max. 480 mm x głębokość: max. 650 mm</w:t>
            </w:r>
          </w:p>
          <w:p w:rsidR="00293C12" w:rsidRPr="00293C12" w:rsidRDefault="00293C12" w:rsidP="00293C12">
            <w:pPr>
              <w:spacing w:after="60" w:line="240" w:lineRule="auto"/>
              <w:rPr>
                <w:rFonts w:ascii="Arial" w:eastAsia="Batang" w:hAnsi="Arial" w:cs="Arial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sz w:val="18"/>
                <w:szCs w:val="18"/>
                <w:lang w:eastAsia="ko-KR"/>
              </w:rPr>
              <w:t>waga: max. 63 kg</w:t>
            </w:r>
            <w:bookmarkStart w:id="0" w:name="_GoBack"/>
            <w:bookmarkEnd w:id="0"/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17"/>
        </w:trPr>
        <w:tc>
          <w:tcPr>
            <w:tcW w:w="2467" w:type="dxa"/>
          </w:tcPr>
          <w:p w:rsidR="00293C12" w:rsidRPr="00293C12" w:rsidRDefault="00293C12" w:rsidP="00293C12">
            <w:pPr>
              <w:spacing w:before="60" w:after="60" w:line="240" w:lineRule="auto"/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  <w:t>Czułość i precyzja:</w:t>
            </w:r>
          </w:p>
        </w:tc>
        <w:tc>
          <w:tcPr>
            <w:tcW w:w="7283" w:type="dxa"/>
          </w:tcPr>
          <w:tbl>
            <w:tblPr>
              <w:tblW w:w="8288" w:type="dxa"/>
              <w:tblInd w:w="1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288"/>
            </w:tblGrid>
            <w:tr w:rsidR="00293C12" w:rsidRPr="00293C12" w:rsidTr="002B5B87">
              <w:trPr>
                <w:trHeight w:val="106"/>
              </w:trPr>
              <w:tc>
                <w:tcPr>
                  <w:tcW w:w="8288" w:type="dxa"/>
                </w:tcPr>
                <w:p w:rsidR="00293C12" w:rsidRPr="002B5B87" w:rsidRDefault="00293C12" w:rsidP="00293C12">
                  <w:pPr>
                    <w:spacing w:after="0" w:line="276" w:lineRule="auto"/>
                    <w:rPr>
                      <w:rFonts w:ascii="Arial" w:eastAsia="Batang" w:hAnsi="Arial" w:cs="Arial"/>
                      <w:sz w:val="18"/>
                      <w:szCs w:val="18"/>
                      <w:lang w:val="en-US" w:eastAsia="ko-KR"/>
                    </w:rPr>
                  </w:pPr>
                  <w:r w:rsidRPr="002B5B87">
                    <w:rPr>
                      <w:rFonts w:ascii="Arial" w:eastAsia="Batang" w:hAnsi="Arial" w:cs="Arial"/>
                      <w:sz w:val="18"/>
                      <w:szCs w:val="18"/>
                      <w:lang w:eastAsia="ko-KR"/>
                    </w:rPr>
                    <w:t>Czułość:</w:t>
                  </w:r>
                  <w:r w:rsidR="002B5B87" w:rsidRPr="002B5B87">
                    <w:rPr>
                      <w:rFonts w:ascii="Arial" w:eastAsia="Batang" w:hAnsi="Arial" w:cs="Arial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B5B87" w:rsidRPr="002B5B87">
                    <w:rPr>
                      <w:rFonts w:ascii="Arial" w:eastAsia="Batang" w:hAnsi="Arial" w:cs="Arial"/>
                      <w:sz w:val="18"/>
                      <w:szCs w:val="18"/>
                      <w:lang w:val="en-US" w:eastAsia="ko-KR"/>
                    </w:rPr>
                    <w:t>Od 5 do 100</w:t>
                  </w:r>
                  <w:r w:rsidRPr="002B5B87">
                    <w:rPr>
                      <w:rFonts w:ascii="Arial" w:eastAsia="Batang" w:hAnsi="Arial" w:cs="Arial"/>
                      <w:sz w:val="18"/>
                      <w:szCs w:val="18"/>
                      <w:lang w:val="en-US" w:eastAsia="ko-KR"/>
                    </w:rPr>
                    <w:t xml:space="preserve"> MESF</w:t>
                  </w:r>
                </w:p>
                <w:p w:rsidR="00293C12" w:rsidRPr="00293C12" w:rsidRDefault="00293C12" w:rsidP="00293C12">
                  <w:pPr>
                    <w:spacing w:after="0" w:line="276" w:lineRule="auto"/>
                    <w:rPr>
                      <w:rFonts w:ascii="Arial" w:eastAsia="Batang" w:hAnsi="Arial" w:cs="Arial"/>
                      <w:color w:val="FF0000"/>
                      <w:sz w:val="18"/>
                      <w:szCs w:val="18"/>
                      <w:lang w:eastAsia="ko-KR"/>
                    </w:rPr>
                  </w:pPr>
                </w:p>
              </w:tc>
            </w:tr>
          </w:tbl>
          <w:p w:rsidR="00293C12" w:rsidRPr="00293C12" w:rsidRDefault="00293C12" w:rsidP="00293C12">
            <w:pPr>
              <w:spacing w:after="60" w:line="240" w:lineRule="auto"/>
              <w:rPr>
                <w:rFonts w:ascii="Arial" w:eastAsia="Batang" w:hAnsi="Arial" w:cs="Arial"/>
                <w:sz w:val="18"/>
                <w:szCs w:val="18"/>
                <w:lang w:eastAsia="ko-KR"/>
              </w:rPr>
            </w:pPr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2467" w:type="dxa"/>
          </w:tcPr>
          <w:p w:rsidR="00293C12" w:rsidRPr="00293C12" w:rsidRDefault="00293C12" w:rsidP="00293C12">
            <w:pPr>
              <w:spacing w:before="60" w:after="60" w:line="240" w:lineRule="auto"/>
              <w:rPr>
                <w:rFonts w:ascii="Arial" w:eastAsia="Batang" w:hAnsi="Arial" w:cs="Arial"/>
                <w:b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color w:val="FF0000"/>
                <w:sz w:val="18"/>
                <w:szCs w:val="18"/>
                <w:lang w:eastAsia="ko-KR"/>
              </w:rPr>
              <w:t>Parametry optyki - wzbudzenie:</w:t>
            </w:r>
          </w:p>
        </w:tc>
        <w:tc>
          <w:tcPr>
            <w:tcW w:w="7283" w:type="dxa"/>
          </w:tcPr>
          <w:p w:rsidR="00293C12" w:rsidRPr="00293C12" w:rsidRDefault="00293C12" w:rsidP="00293C12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laser niebieski: 488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nm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(60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mW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</w:t>
            </w:r>
          </w:p>
          <w:p w:rsidR="00293C12" w:rsidRPr="00293C12" w:rsidRDefault="00293C12" w:rsidP="00293C12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laser czerwony: 642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nm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(100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mW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</w:t>
            </w:r>
          </w:p>
          <w:p w:rsidR="00293C12" w:rsidRPr="00293C12" w:rsidRDefault="00293C12" w:rsidP="00293C12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laser 785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nm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(70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mW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) dedykowany do kanału SSC </w:t>
            </w:r>
          </w:p>
          <w:p w:rsidR="00293C12" w:rsidRPr="00293C12" w:rsidRDefault="00293C12" w:rsidP="00293C12">
            <w:pPr>
              <w:spacing w:after="0" w:line="276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  <w:u w:val="single"/>
                <w:lang w:eastAsia="pl-PL"/>
              </w:rPr>
            </w:pPr>
            <w:r w:rsidRPr="00293C12">
              <w:rPr>
                <w:rFonts w:ascii="Arial" w:eastAsia="Times New Roman" w:hAnsi="Arial" w:cs="Arial"/>
                <w:sz w:val="18"/>
                <w:szCs w:val="18"/>
                <w:u w:val="single"/>
                <w:lang w:eastAsia="pl-PL"/>
              </w:rPr>
              <w:t>Możliwość przeprowadzania codziennej, automatycznej horyzontalnej kalibracji wiązki laserów</w:t>
            </w:r>
          </w:p>
          <w:p w:rsidR="00293C12" w:rsidRPr="00293C12" w:rsidRDefault="00293C12" w:rsidP="00293C12">
            <w:pPr>
              <w:spacing w:after="0" w:line="276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293C12" w:rsidRPr="00293C12" w:rsidRDefault="00293C12" w:rsidP="00293C12">
            <w:pPr>
              <w:numPr>
                <w:ilvl w:val="0"/>
                <w:numId w:val="4"/>
              </w:numPr>
              <w:spacing w:after="0" w:line="276" w:lineRule="auto"/>
              <w:contextualSpacing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Możliwość zastosowania dowolnego lasera dla parametru SSC</w:t>
            </w:r>
          </w:p>
          <w:p w:rsidR="00293C12" w:rsidRPr="00293C12" w:rsidRDefault="00293C12" w:rsidP="00293C12">
            <w:pPr>
              <w:numPr>
                <w:ilvl w:val="0"/>
                <w:numId w:val="4"/>
              </w:numPr>
              <w:spacing w:after="0" w:line="276" w:lineRule="auto"/>
              <w:contextualSpacing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Możliwość rozbudowy urządzenia bez konieczności jego transportu o dodatkowy laser zielony 561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nm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o mocy 50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mW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oraz laser fioletowy 405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nm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(100 </w:t>
            </w:r>
            <w:proofErr w:type="spellStart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mW</w:t>
            </w:r>
            <w:proofErr w:type="spellEnd"/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</w:t>
            </w:r>
            <w:r w:rsidRPr="00293C12">
              <w:rPr>
                <w:rFonts w:ascii="Arial" w:eastAsia="Times New Roman" w:hAnsi="Arial" w:cs="Arial"/>
                <w:sz w:val="18"/>
                <w:szCs w:val="18"/>
                <w:u w:val="single"/>
                <w:lang w:eastAsia="pl-PL"/>
              </w:rPr>
              <w:t xml:space="preserve"> </w:t>
            </w:r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2467" w:type="dxa"/>
          </w:tcPr>
          <w:p w:rsidR="00293C12" w:rsidRPr="00293C12" w:rsidRDefault="00293C12" w:rsidP="00293C12">
            <w:pPr>
              <w:spacing w:before="60" w:after="60" w:line="240" w:lineRule="auto"/>
              <w:rPr>
                <w:rFonts w:ascii="Arial" w:eastAsia="Batang" w:hAnsi="Arial" w:cs="Arial"/>
                <w:b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  <w:t>Sposób pobierania prób:</w:t>
            </w:r>
          </w:p>
        </w:tc>
        <w:tc>
          <w:tcPr>
            <w:tcW w:w="7283" w:type="dxa"/>
          </w:tcPr>
          <w:p w:rsidR="00293C12" w:rsidRPr="00293C12" w:rsidRDefault="00293C12" w:rsidP="00293C12">
            <w:pPr>
              <w:spacing w:after="0" w:line="276" w:lineRule="auto"/>
              <w:contextualSpacing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Podajnik probówek o pojemności 1,5 ml z detektorem wysokości i czujnikiem powietrza (objętość martwa probówki &lt;3 ul)</w:t>
            </w:r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2467" w:type="dxa"/>
          </w:tcPr>
          <w:p w:rsidR="00293C12" w:rsidRPr="00293C12" w:rsidRDefault="00293C12" w:rsidP="00293C12">
            <w:pPr>
              <w:spacing w:before="60" w:after="60" w:line="240" w:lineRule="auto"/>
              <w:rPr>
                <w:rFonts w:ascii="Arial" w:eastAsia="Batang" w:hAnsi="Arial" w:cs="Arial"/>
                <w:b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color w:val="FF0000"/>
                <w:sz w:val="18"/>
                <w:szCs w:val="18"/>
                <w:lang w:eastAsia="ko-KR"/>
              </w:rPr>
              <w:t>Oprogramowanie:</w:t>
            </w:r>
          </w:p>
        </w:tc>
        <w:tc>
          <w:tcPr>
            <w:tcW w:w="7283" w:type="dxa"/>
          </w:tcPr>
          <w:p w:rsidR="00293C12" w:rsidRPr="00293C12" w:rsidRDefault="00293C12" w:rsidP="00293C12">
            <w:pPr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sterujące automatycznie włączaniem i wyłączaniem systemu</w:t>
            </w:r>
          </w:p>
          <w:p w:rsidR="00293C12" w:rsidRPr="00293C12" w:rsidRDefault="00293C12" w:rsidP="00293C12">
            <w:pPr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umożliwiające przeprowadzenie kompensacji post akwizycyjnej</w:t>
            </w:r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2467" w:type="dxa"/>
          </w:tcPr>
          <w:p w:rsidR="00293C12" w:rsidRPr="00293C12" w:rsidRDefault="00293C12" w:rsidP="00293C12">
            <w:pPr>
              <w:spacing w:before="60" w:after="60" w:line="240" w:lineRule="auto"/>
              <w:rPr>
                <w:rFonts w:ascii="Arial" w:eastAsia="Batang" w:hAnsi="Arial" w:cs="Arial"/>
                <w:b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  <w:t>Rodzaj analizowanej próby:</w:t>
            </w:r>
          </w:p>
        </w:tc>
        <w:tc>
          <w:tcPr>
            <w:tcW w:w="7283" w:type="dxa"/>
          </w:tcPr>
          <w:p w:rsidR="00293C12" w:rsidRPr="00293C12" w:rsidRDefault="00293C12" w:rsidP="00293C12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minimalna objętość badanej próby– 20 ul w probówce</w:t>
            </w:r>
          </w:p>
          <w:p w:rsidR="00293C12" w:rsidRPr="00293C12" w:rsidRDefault="00293C12" w:rsidP="00293C12">
            <w:pPr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="Arial" w:eastAsia="Calibri" w:hAnsi="Arial" w:cs="Arial"/>
                <w:bCs/>
                <w:sz w:val="18"/>
                <w:szCs w:val="18"/>
              </w:rPr>
            </w:pPr>
            <w:r w:rsidRPr="00293C1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możliwość analizy komórek w zakresie wielkości 0,2 -120 µm</w:t>
            </w:r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467" w:type="dxa"/>
          </w:tcPr>
          <w:p w:rsidR="00293C12" w:rsidRPr="00293C12" w:rsidRDefault="00293C12" w:rsidP="00293C12">
            <w:pPr>
              <w:spacing w:before="60" w:after="0" w:line="240" w:lineRule="auto"/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  <w:t>Charakterystyka systemu:</w:t>
            </w:r>
          </w:p>
        </w:tc>
        <w:tc>
          <w:tcPr>
            <w:tcW w:w="7283" w:type="dxa"/>
          </w:tcPr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Detekcja sygnału fluorescencyjnego i rejestracja obrazu za pomocą kamery CCD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wizualna weryfikacja każdego obiektu na podstawienie generowanych przez urządzenie zdjęć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lastRenderedPageBreak/>
              <w:t>morfologiczna klasyfikacja analizowanych obiektów w heterogennych próbach z wykorzystaniem oprogramowania do analizy obrazów generowanych przez urządzenie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szybkość akwizycji przy jednoczesnym generowaniu zdjęć mikroskopowych każdego analizowanego obiektu: do 5000 obiektów/ sekundę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wbudowany obiektyw 20x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zdolność do auto-diagnostyki i auto-kalibracji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Automatyczny rozruch oraz zamknięcie systemu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Możliwość manualnej regulacji siły emitowanego sygnału fluorescencyjnego poprzez płynną zmianę mocy lasera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Możliwość generowania danych statystycznych dla wielotysięcznych populacji z wykorzystaniem co najmniej 86 cech podstawowych każdego analizowanego obiektu oraz z zastosowaniem co najmniej 16 masek umożliwiających precyzyjną identyfikację wybranego fragmentu komórki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 xml:space="preserve">Możliwość manualnego tworzenia masek logicznych wskazujących obszar analizowanego obiektu w oparciu o wykorzystanie masek podstawowych 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 xml:space="preserve">Możliwość analizy obiektów w zakresie wielkości 0,2 – 120 </w:t>
            </w:r>
            <w:proofErr w:type="spellStart"/>
            <w:r w:rsidRPr="00293C12">
              <w:rPr>
                <w:rFonts w:ascii="Arial" w:eastAsia="Calibri" w:hAnsi="Arial" w:cs="Arial"/>
                <w:sz w:val="18"/>
                <w:szCs w:val="18"/>
              </w:rPr>
              <w:t>um</w:t>
            </w:r>
            <w:proofErr w:type="spellEnd"/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12" w:rsidRPr="00293C12" w:rsidRDefault="00293C12" w:rsidP="00293C12">
            <w:pPr>
              <w:spacing w:before="60" w:after="0" w:line="240" w:lineRule="auto"/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  <w:lastRenderedPageBreak/>
              <w:t>Charakterystyka systemu: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 xml:space="preserve">Urządzenie wyposażone w system automatycznego monitorowania i regulacji strumienia komórek w celu otrzymywania zdjęć o optymalnej ostrości 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Urządzenie wyposażone w optyczne czujniki alarmujące o niskim poziomie płynów oraz wysokim poziomie odpadów w zbiornikach</w:t>
            </w:r>
          </w:p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Oprogramowanie posiada gotowe szablony do analizy umożliwiające wykonanie następujących oznaczeń: apoptoza, cykl komórkowy z mitozą, internalizacja, lokalizacja jądrowa, ko-lokalizacja, zmiana kształtu komórkowego. Oprogramowanie samodzielnie tworzy i dopasowuje wykresy punktowe, histogramy, wybrane parametry i stosowane maski</w:t>
            </w:r>
          </w:p>
          <w:p w:rsidR="00293C12" w:rsidRPr="00293C12" w:rsidRDefault="00293C12" w:rsidP="00293C12">
            <w:pPr>
              <w:spacing w:after="0" w:line="240" w:lineRule="auto"/>
              <w:ind w:left="720" w:hanging="36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293C12" w:rsidRPr="00293C12" w:rsidRDefault="00293C12" w:rsidP="00293C12">
            <w:pPr>
              <w:spacing w:after="0" w:line="240" w:lineRule="auto"/>
              <w:ind w:left="720" w:hanging="360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Kalibracja urządzenia &lt; 15 minut</w:t>
            </w:r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12" w:rsidRPr="00293C12" w:rsidRDefault="00293C12" w:rsidP="00293C12">
            <w:pPr>
              <w:spacing w:before="60" w:after="0" w:line="240" w:lineRule="auto"/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  <w:t>Moduł ML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 xml:space="preserve">Moduł oprogramowania działający w oparciu o uczenie maszynowe, wykorzystujący liniową analizę dyskryminacyjną (LDA) do stworzenia klasyfikatorów liniowych, optymalnie rozdzielających </w:t>
            </w:r>
            <w:proofErr w:type="spellStart"/>
            <w:r w:rsidRPr="00293C12">
              <w:rPr>
                <w:rFonts w:ascii="Arial" w:eastAsia="Calibri" w:hAnsi="Arial" w:cs="Arial"/>
                <w:sz w:val="18"/>
                <w:szCs w:val="18"/>
              </w:rPr>
              <w:t>pouplacje</w:t>
            </w:r>
            <w:proofErr w:type="spellEnd"/>
            <w:r w:rsidRPr="00293C12">
              <w:rPr>
                <w:rFonts w:ascii="Arial" w:eastAsia="Calibri" w:hAnsi="Arial" w:cs="Arial"/>
                <w:sz w:val="18"/>
                <w:szCs w:val="18"/>
              </w:rPr>
              <w:t xml:space="preserve"> wsadowe </w:t>
            </w:r>
            <w:proofErr w:type="spellStart"/>
            <w:r w:rsidRPr="00293C12">
              <w:rPr>
                <w:rFonts w:ascii="Arial" w:eastAsia="Calibri" w:hAnsi="Arial" w:cs="Arial"/>
                <w:sz w:val="18"/>
                <w:szCs w:val="18"/>
              </w:rPr>
              <w:t>wksazane</w:t>
            </w:r>
            <w:proofErr w:type="spellEnd"/>
            <w:r w:rsidRPr="00293C12">
              <w:rPr>
                <w:rFonts w:ascii="Arial" w:eastAsia="Calibri" w:hAnsi="Arial" w:cs="Arial"/>
                <w:sz w:val="18"/>
                <w:szCs w:val="18"/>
              </w:rPr>
              <w:t xml:space="preserve"> przez użytkownika</w:t>
            </w:r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12" w:rsidRPr="00293C12" w:rsidRDefault="00293C12" w:rsidP="00293C12">
            <w:pPr>
              <w:spacing w:before="60" w:after="0" w:line="240" w:lineRule="auto"/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  <w:t>Dodatkowe komponenty systemu: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Roztwór do kalibracji urządzenia, zestaw odczynników do płukania i odkażania urządzenia,  płyn osłonowy, zestaw odczynników do oznaczeń komórkowych umożliwiający ocenę żywotności oraz aktywności metabolicznej</w:t>
            </w:r>
          </w:p>
        </w:tc>
      </w:tr>
      <w:tr w:rsidR="00293C12" w:rsidRPr="00293C12" w:rsidTr="00293C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12" w:rsidRPr="00293C12" w:rsidRDefault="00293C12" w:rsidP="00293C12">
            <w:pPr>
              <w:spacing w:before="60" w:after="0" w:line="240" w:lineRule="auto"/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</w:pPr>
            <w:r w:rsidRPr="00293C12">
              <w:rPr>
                <w:rFonts w:ascii="Arial" w:eastAsia="Batang" w:hAnsi="Arial" w:cs="Arial"/>
                <w:b/>
                <w:bCs/>
                <w:color w:val="FF0000"/>
                <w:sz w:val="18"/>
                <w:szCs w:val="18"/>
                <w:lang w:eastAsia="ko-KR"/>
              </w:rPr>
              <w:t>Gwarancja: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12" w:rsidRPr="00293C12" w:rsidRDefault="00293C12" w:rsidP="00293C12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93C12">
              <w:rPr>
                <w:rFonts w:ascii="Arial" w:eastAsia="Calibri" w:hAnsi="Arial" w:cs="Arial"/>
                <w:sz w:val="18"/>
                <w:szCs w:val="18"/>
              </w:rPr>
              <w:t>Gwarancja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min.</w:t>
            </w:r>
            <w:r w:rsidRPr="00293C12">
              <w:rPr>
                <w:rFonts w:ascii="Arial" w:eastAsia="Calibri" w:hAnsi="Arial" w:cs="Arial"/>
                <w:sz w:val="18"/>
                <w:szCs w:val="18"/>
              </w:rPr>
              <w:t xml:space="preserve"> 12 miesięcy </w:t>
            </w:r>
          </w:p>
        </w:tc>
      </w:tr>
    </w:tbl>
    <w:p w:rsidR="00293C12" w:rsidRDefault="00293C12">
      <w:pPr>
        <w:rPr>
          <w:rFonts w:ascii="Times New Roman" w:hAnsi="Times New Roman" w:cs="Times New Roman"/>
          <w:sz w:val="24"/>
          <w:szCs w:val="24"/>
        </w:rPr>
      </w:pPr>
    </w:p>
    <w:sectPr w:rsidR="00293C12" w:rsidSect="00241910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97F" w:rsidRDefault="0001397F" w:rsidP="0001397F">
      <w:pPr>
        <w:spacing w:after="0" w:line="240" w:lineRule="auto"/>
      </w:pPr>
      <w:r>
        <w:separator/>
      </w:r>
    </w:p>
  </w:endnote>
  <w:endnote w:type="continuationSeparator" w:id="0">
    <w:p w:rsidR="0001397F" w:rsidRDefault="0001397F" w:rsidP="0001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Pro-Regular">
    <w:altName w:val="Arial"/>
    <w:panose1 w:val="00000000000000000000"/>
    <w:charset w:val="A1"/>
    <w:family w:val="swiss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4166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1397F" w:rsidRDefault="0001397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5B8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5B8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1397F" w:rsidRDefault="00013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97F" w:rsidRDefault="0001397F" w:rsidP="0001397F">
      <w:pPr>
        <w:spacing w:after="0" w:line="240" w:lineRule="auto"/>
      </w:pPr>
      <w:r>
        <w:separator/>
      </w:r>
    </w:p>
  </w:footnote>
  <w:footnote w:type="continuationSeparator" w:id="0">
    <w:p w:rsidR="0001397F" w:rsidRDefault="0001397F" w:rsidP="0001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85186"/>
    <w:multiLevelType w:val="hybridMultilevel"/>
    <w:tmpl w:val="6F2C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D4B59"/>
    <w:multiLevelType w:val="hybridMultilevel"/>
    <w:tmpl w:val="046E4C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452FE"/>
    <w:multiLevelType w:val="hybridMultilevel"/>
    <w:tmpl w:val="4A5C0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501D59"/>
    <w:multiLevelType w:val="hybridMultilevel"/>
    <w:tmpl w:val="5B7C2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D4"/>
    <w:rsid w:val="0001397F"/>
    <w:rsid w:val="0002001A"/>
    <w:rsid w:val="00241910"/>
    <w:rsid w:val="002862B2"/>
    <w:rsid w:val="00293C12"/>
    <w:rsid w:val="002B5B87"/>
    <w:rsid w:val="00495206"/>
    <w:rsid w:val="005A66B5"/>
    <w:rsid w:val="00682993"/>
    <w:rsid w:val="0070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01D2E"/>
  <w15:chartTrackingRefBased/>
  <w15:docId w15:val="{0AF5793C-1AC7-44AE-8686-AD6A72AE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7F"/>
  </w:style>
  <w:style w:type="paragraph" w:styleId="Stopka">
    <w:name w:val="footer"/>
    <w:basedOn w:val="Normalny"/>
    <w:link w:val="Stopka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15694-02CF-40FC-A9ED-AC35CBF3C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cp:lastPrinted>2022-08-24T09:56:00Z</cp:lastPrinted>
  <dcterms:created xsi:type="dcterms:W3CDTF">2022-10-18T12:58:00Z</dcterms:created>
  <dcterms:modified xsi:type="dcterms:W3CDTF">2022-10-20T12:46:00Z</dcterms:modified>
</cp:coreProperties>
</file>