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5F" w:rsidRPr="003A7D5F" w:rsidRDefault="008B32A1" w:rsidP="003A7D5F">
      <w:pPr>
        <w:spacing w:after="120"/>
        <w:rPr>
          <w:rFonts w:ascii="Arial" w:hAnsi="Arial" w:cs="Arial"/>
          <w:sz w:val="20"/>
          <w:szCs w:val="20"/>
        </w:rPr>
      </w:pPr>
      <w:r w:rsidRPr="008B32A1">
        <w:rPr>
          <w:rFonts w:ascii="Arial" w:hAnsi="Arial" w:cs="Arial"/>
          <w:sz w:val="22"/>
          <w:szCs w:val="22"/>
        </w:rPr>
        <w:t>Znak sprawy:</w:t>
      </w:r>
      <w:r>
        <w:rPr>
          <w:rFonts w:ascii="Arial" w:hAnsi="Arial" w:cs="Arial"/>
          <w:sz w:val="22"/>
          <w:szCs w:val="22"/>
        </w:rPr>
        <w:t xml:space="preserve"> </w:t>
      </w:r>
      <w:r w:rsidR="003A7D5F" w:rsidRPr="003A7D5F">
        <w:rPr>
          <w:rFonts w:ascii="Arial" w:hAnsi="Arial" w:cs="Arial"/>
          <w:sz w:val="20"/>
          <w:szCs w:val="20"/>
        </w:rPr>
        <w:t>ZP/5516/D/22</w:t>
      </w:r>
    </w:p>
    <w:p w:rsidR="00465451" w:rsidRPr="003A7D5F" w:rsidRDefault="00465451" w:rsidP="003A7D5F">
      <w:pPr>
        <w:spacing w:after="120"/>
        <w:ind w:left="7080"/>
        <w:jc w:val="center"/>
        <w:rPr>
          <w:rFonts w:ascii="Arial" w:hAnsi="Arial" w:cs="Arial"/>
          <w:sz w:val="22"/>
          <w:szCs w:val="22"/>
        </w:rPr>
      </w:pPr>
      <w:r w:rsidRPr="003A7D5F">
        <w:rPr>
          <w:rFonts w:ascii="Arial" w:hAnsi="Arial" w:cs="Arial"/>
          <w:sz w:val="22"/>
          <w:szCs w:val="22"/>
        </w:rPr>
        <w:t>Załącznik nr 3</w:t>
      </w:r>
    </w:p>
    <w:p w:rsidR="00465451" w:rsidRPr="00465451" w:rsidRDefault="00465451" w:rsidP="00465451">
      <w:pPr>
        <w:spacing w:after="120"/>
        <w:jc w:val="right"/>
        <w:rPr>
          <w:rFonts w:ascii="Arial" w:hAnsi="Arial" w:cs="Arial"/>
          <w:sz w:val="20"/>
          <w:szCs w:val="20"/>
        </w:rPr>
      </w:pPr>
    </w:p>
    <w:p w:rsidR="00465451" w:rsidRPr="00465451" w:rsidRDefault="00465451" w:rsidP="00465451">
      <w:pPr>
        <w:spacing w:after="120"/>
        <w:jc w:val="center"/>
        <w:rPr>
          <w:rFonts w:ascii="Arial" w:hAnsi="Arial" w:cs="Arial"/>
          <w:b/>
        </w:rPr>
      </w:pPr>
      <w:r w:rsidRPr="00465451">
        <w:rPr>
          <w:rFonts w:ascii="Arial" w:hAnsi="Arial" w:cs="Arial"/>
          <w:b/>
        </w:rPr>
        <w:t>Opis przedmiotu zamówienia</w:t>
      </w:r>
    </w:p>
    <w:p w:rsidR="00465451" w:rsidRDefault="00465451" w:rsidP="0096491F">
      <w:pPr>
        <w:rPr>
          <w:b/>
        </w:rPr>
      </w:pPr>
    </w:p>
    <w:p w:rsidR="0096491F" w:rsidRDefault="0096491F" w:rsidP="0096491F">
      <w:pPr>
        <w:rPr>
          <w:b/>
        </w:rPr>
      </w:pPr>
      <w:proofErr w:type="spellStart"/>
      <w:r w:rsidRPr="00CC777A">
        <w:rPr>
          <w:b/>
        </w:rPr>
        <w:t>Termocykler</w:t>
      </w:r>
      <w:proofErr w:type="spellEnd"/>
      <w:r w:rsidRPr="00CC777A">
        <w:rPr>
          <w:b/>
        </w:rPr>
        <w:t xml:space="preserve"> do PCR w czasie rzeczywistym (ang. real-</w:t>
      </w:r>
      <w:proofErr w:type="spellStart"/>
      <w:r w:rsidRPr="00CC777A">
        <w:rPr>
          <w:b/>
        </w:rPr>
        <w:t>time</w:t>
      </w:r>
      <w:proofErr w:type="spellEnd"/>
      <w:r w:rsidRPr="00CC777A">
        <w:rPr>
          <w:b/>
        </w:rPr>
        <w:t xml:space="preserve"> PCR), wraz z komputerem </w:t>
      </w:r>
      <w:r w:rsidR="008B32A1">
        <w:rPr>
          <w:b/>
        </w:rPr>
        <w:br/>
      </w:r>
      <w:r w:rsidRPr="00CC777A">
        <w:rPr>
          <w:b/>
        </w:rPr>
        <w:t>i oprogramowaniem.</w:t>
      </w:r>
    </w:p>
    <w:p w:rsidR="0096491F" w:rsidRDefault="0096491F" w:rsidP="0096491F">
      <w:pPr>
        <w:rPr>
          <w:b/>
        </w:rPr>
      </w:pPr>
    </w:p>
    <w:p w:rsidR="0096491F" w:rsidRPr="00552F5D" w:rsidRDefault="0096491F" w:rsidP="0096491F">
      <w:pPr>
        <w:rPr>
          <w:u w:val="single"/>
        </w:rPr>
      </w:pPr>
      <w:r w:rsidRPr="00552F5D">
        <w:rPr>
          <w:u w:val="single"/>
        </w:rPr>
        <w:t>Param</w:t>
      </w:r>
      <w:bookmarkStart w:id="0" w:name="_GoBack"/>
      <w:bookmarkEnd w:id="0"/>
      <w:r w:rsidRPr="00552F5D">
        <w:rPr>
          <w:u w:val="single"/>
        </w:rPr>
        <w:t>etry techniczne: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 xml:space="preserve">Blok grzejno-chłodzący z układami </w:t>
      </w:r>
      <w:proofErr w:type="spellStart"/>
      <w:r w:rsidRPr="00552F5D">
        <w:rPr>
          <w:sz w:val="20"/>
          <w:szCs w:val="20"/>
        </w:rPr>
        <w:t>Peltier’a</w:t>
      </w:r>
      <w:proofErr w:type="spellEnd"/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Blok grzejny o pojemności min. 96 próbek umożliwiający prowadzenie reakcji w standardowych</w:t>
      </w:r>
    </w:p>
    <w:p w:rsidR="0096491F" w:rsidRPr="00552F5D" w:rsidRDefault="0096491F" w:rsidP="0096491F">
      <w:pPr>
        <w:rPr>
          <w:sz w:val="20"/>
          <w:szCs w:val="20"/>
        </w:rPr>
      </w:pPr>
      <w:proofErr w:type="spellStart"/>
      <w:r w:rsidRPr="00552F5D">
        <w:rPr>
          <w:sz w:val="20"/>
          <w:szCs w:val="20"/>
        </w:rPr>
        <w:t>niskoprofilowych</w:t>
      </w:r>
      <w:proofErr w:type="spellEnd"/>
      <w:r w:rsidRPr="00552F5D">
        <w:rPr>
          <w:sz w:val="20"/>
          <w:szCs w:val="20"/>
        </w:rPr>
        <w:t xml:space="preserve"> mikropłytkach lub paskach probówek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Zakres temperatury bloku 4 – 100°C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 xml:space="preserve">Dokładność ustalenia temperatury nie gorsza niż </w:t>
      </w:r>
      <w:r>
        <w:rPr>
          <w:sz w:val="20"/>
          <w:szCs w:val="20"/>
        </w:rPr>
        <w:t>± 0,2 °C w temp. 90 °</w:t>
      </w:r>
      <w:r w:rsidRPr="00552F5D">
        <w:rPr>
          <w:sz w:val="20"/>
          <w:szCs w:val="20"/>
        </w:rPr>
        <w:t>C</w:t>
      </w:r>
    </w:p>
    <w:p w:rsidR="0096491F" w:rsidRPr="00552F5D" w:rsidRDefault="0096491F" w:rsidP="0096491F">
      <w:pPr>
        <w:rPr>
          <w:sz w:val="20"/>
          <w:szCs w:val="20"/>
        </w:rPr>
      </w:pPr>
      <w:r>
        <w:rPr>
          <w:sz w:val="20"/>
          <w:szCs w:val="20"/>
        </w:rPr>
        <w:t>Równomierność rozkładu temp. na płycie nie gorsza niż ± 0,3 °</w:t>
      </w:r>
      <w:r w:rsidRPr="00552F5D">
        <w:rPr>
          <w:sz w:val="20"/>
          <w:szCs w:val="20"/>
        </w:rPr>
        <w:t>C osiągane</w:t>
      </w:r>
      <w:r>
        <w:rPr>
          <w:sz w:val="20"/>
          <w:szCs w:val="20"/>
        </w:rPr>
        <w:t xml:space="preserve"> w czasie 10 sek. dla temp. 90 °</w:t>
      </w:r>
      <w:r w:rsidRPr="00552F5D">
        <w:rPr>
          <w:sz w:val="20"/>
          <w:szCs w:val="20"/>
        </w:rPr>
        <w:t>C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 xml:space="preserve">Zakres wielkości próbki minimum: 1 – 50 </w:t>
      </w:r>
      <w:proofErr w:type="spellStart"/>
      <w:r w:rsidRPr="00552F5D">
        <w:rPr>
          <w:sz w:val="20"/>
          <w:szCs w:val="20"/>
        </w:rPr>
        <w:t>μl</w:t>
      </w:r>
      <w:proofErr w:type="spellEnd"/>
    </w:p>
    <w:p w:rsidR="0096491F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 xml:space="preserve">Maksymalna szybkość zmian temperatury (maximum ramp </w:t>
      </w:r>
      <w:proofErr w:type="spellStart"/>
      <w:r w:rsidRPr="00552F5D">
        <w:rPr>
          <w:sz w:val="20"/>
          <w:szCs w:val="20"/>
        </w:rPr>
        <w:t>rate</w:t>
      </w:r>
      <w:proofErr w:type="spellEnd"/>
      <w:r w:rsidRPr="00552F5D">
        <w:rPr>
          <w:sz w:val="20"/>
          <w:szCs w:val="20"/>
        </w:rPr>
        <w:t>) co najmniej 5 °C/s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Musi posiadać gradient termiczny umożliwiający jednoczesną optymalizację warunków reakcji dla co najmniej 12 reagentów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Maksymalna rozpiętość programowalnego zakresu gradientu termicznego co najmniej 24 °C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Zakres temp.</w:t>
      </w:r>
      <w:r>
        <w:rPr>
          <w:sz w:val="20"/>
          <w:szCs w:val="20"/>
        </w:rPr>
        <w:t xml:space="preserve"> ustawienia gradientu 30 – 100 °</w:t>
      </w:r>
      <w:r w:rsidRPr="00552F5D">
        <w:rPr>
          <w:sz w:val="20"/>
          <w:szCs w:val="20"/>
        </w:rPr>
        <w:t>C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Pokry</w:t>
      </w:r>
      <w:r>
        <w:rPr>
          <w:sz w:val="20"/>
          <w:szCs w:val="20"/>
        </w:rPr>
        <w:t>wa z grzaniem od 30 do 110 °</w:t>
      </w:r>
      <w:r w:rsidRPr="00552F5D">
        <w:rPr>
          <w:sz w:val="20"/>
          <w:szCs w:val="20"/>
        </w:rPr>
        <w:t>C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Metoda pomiarowa: fluorescencja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Źródło światła: diody LED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Multipleks 2 kanałowy – możliwość oznaczania jednocześnie do 2 genów w jednej próbce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Każdy kanał pomiarowy musi być wyposażony w indywidualną diodę LED o długości światła optymalnej do barwników przypisanych do kanału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Urządzenie musi być wyposażone w komplet filtrów światła wzbudzającego i emitowanego</w:t>
      </w:r>
      <w:r>
        <w:rPr>
          <w:sz w:val="20"/>
          <w:szCs w:val="20"/>
        </w:rPr>
        <w:t xml:space="preserve"> zainstalowanych dla każdego z </w:t>
      </w:r>
      <w:r w:rsidRPr="00552F5D">
        <w:rPr>
          <w:sz w:val="20"/>
          <w:szCs w:val="20"/>
        </w:rPr>
        <w:t xml:space="preserve"> kanałów</w:t>
      </w:r>
    </w:p>
    <w:p w:rsidR="0096491F" w:rsidRPr="00552F5D" w:rsidRDefault="0096491F" w:rsidP="0096491F">
      <w:pPr>
        <w:rPr>
          <w:sz w:val="20"/>
          <w:szCs w:val="20"/>
        </w:rPr>
      </w:pPr>
      <w:r w:rsidRPr="00552F5D">
        <w:rPr>
          <w:sz w:val="20"/>
          <w:szCs w:val="20"/>
        </w:rPr>
        <w:t>Gotowy system do detekcji reakcji z użyciem barwników: FAM, SYBR® Green I, VIC, HEX, CAL Fluor Gold 540, Cal Fluor Orange 560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Dodatkowy kanał dostosowany do techniki FRET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Kilka trybów rejestracji danych w tym opcja szybkiego pomiaru dla pojedynczego kanału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Możliwość programowania płytki doświadczalnej przed, w trakcie lub po zakończeniu pomiaru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Programowanie reakcji z komputera PC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 xml:space="preserve">Oprogramowanie zapewniające </w:t>
      </w:r>
      <w:proofErr w:type="spellStart"/>
      <w:r w:rsidRPr="00552F5D">
        <w:rPr>
          <w:rFonts w:ascii="Times New Roman" w:hAnsi="Times New Roman"/>
        </w:rPr>
        <w:t>a</w:t>
      </w:r>
      <w:r>
        <w:rPr>
          <w:rFonts w:ascii="Times New Roman" w:hAnsi="Times New Roman"/>
        </w:rPr>
        <w:t>rch</w:t>
      </w:r>
      <w:r w:rsidRPr="00552F5D">
        <w:rPr>
          <w:rFonts w:ascii="Times New Roman" w:hAnsi="Times New Roman"/>
        </w:rPr>
        <w:t>i</w:t>
      </w:r>
      <w:r>
        <w:rPr>
          <w:rFonts w:ascii="Times New Roman" w:hAnsi="Times New Roman"/>
        </w:rPr>
        <w:t>wi</w:t>
      </w:r>
      <w:r w:rsidRPr="00552F5D">
        <w:rPr>
          <w:rFonts w:ascii="Times New Roman" w:hAnsi="Times New Roman"/>
        </w:rPr>
        <w:t>zycję</w:t>
      </w:r>
      <w:proofErr w:type="spellEnd"/>
      <w:r w:rsidRPr="00552F5D">
        <w:rPr>
          <w:rFonts w:ascii="Times New Roman" w:hAnsi="Times New Roman"/>
        </w:rPr>
        <w:t xml:space="preserve"> i obróbkę wyników z możliwością instalacji na wielu komputerach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Tworzenie krzywej kalibracyjnej umożliwiającej oznaczania ilościowe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Analiza krzywej topnienia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Analiza względnego stężenia DNA „</w:t>
      </w:r>
      <w:proofErr w:type="spellStart"/>
      <w:r w:rsidRPr="00552F5D">
        <w:rPr>
          <w:rFonts w:ascii="Times New Roman" w:hAnsi="Times New Roman"/>
        </w:rPr>
        <w:t>g</w:t>
      </w:r>
      <w:r>
        <w:rPr>
          <w:rFonts w:ascii="Times New Roman" w:hAnsi="Times New Roman"/>
        </w:rPr>
        <w:t>ene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expression</w:t>
      </w:r>
      <w:proofErr w:type="spellEnd"/>
      <w:r>
        <w:rPr>
          <w:rFonts w:ascii="Times New Roman" w:hAnsi="Times New Roman"/>
        </w:rPr>
        <w:t>” poprzez pomiar ΔCT lub ΔΔ</w:t>
      </w:r>
      <w:r w:rsidRPr="00552F5D">
        <w:rPr>
          <w:rFonts w:ascii="Times New Roman" w:hAnsi="Times New Roman"/>
        </w:rPr>
        <w:t>CT z wieloma genami referencyjnymi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Możliwość jednoczesnej analizy ekspresji genów dla próbek pochodzących z różnych pomiarów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Analiza z zaprogramowanym punktem końcowym pomiaru „end-point”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Analiza alleli (dyskryminacja alleli)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Oprogramowanie umożliwia</w:t>
      </w:r>
      <w:r>
        <w:rPr>
          <w:rFonts w:ascii="Times New Roman" w:hAnsi="Times New Roman"/>
        </w:rPr>
        <w:t>jące</w:t>
      </w:r>
      <w:r w:rsidRPr="00552F5D">
        <w:rPr>
          <w:rFonts w:ascii="Times New Roman" w:hAnsi="Times New Roman"/>
        </w:rPr>
        <w:t xml:space="preserve"> wykonanie analiz statystycznych (t-Student, dwukierunkowa ANOVA) zintegrowane w jednym oprogramowaniu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 xml:space="preserve">Oprogramowanie </w:t>
      </w:r>
      <w:proofErr w:type="spellStart"/>
      <w:r w:rsidRPr="00552F5D">
        <w:rPr>
          <w:rFonts w:ascii="Times New Roman" w:hAnsi="Times New Roman"/>
        </w:rPr>
        <w:t>umożliwa</w:t>
      </w:r>
      <w:r>
        <w:rPr>
          <w:rFonts w:ascii="Times New Roman" w:hAnsi="Times New Roman"/>
        </w:rPr>
        <w:t>jące</w:t>
      </w:r>
      <w:proofErr w:type="spellEnd"/>
      <w:r w:rsidRPr="00552F5D">
        <w:rPr>
          <w:rFonts w:ascii="Times New Roman" w:hAnsi="Times New Roman"/>
        </w:rPr>
        <w:t xml:space="preserve"> porównywanie różnych grup biologicznych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Możliwość eksportu zapisanych wyników analiz do innych aplikacji (Microsoft Excel, Word, PowerPoint)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Oprogramowanie umożliwia</w:t>
      </w:r>
      <w:r>
        <w:rPr>
          <w:rFonts w:ascii="Times New Roman" w:hAnsi="Times New Roman"/>
        </w:rPr>
        <w:t>jące</w:t>
      </w:r>
      <w:r w:rsidRPr="00552F5D">
        <w:rPr>
          <w:rFonts w:ascii="Times New Roman" w:hAnsi="Times New Roman"/>
        </w:rPr>
        <w:t xml:space="preserve"> analizę stabilności genów </w:t>
      </w:r>
      <w:proofErr w:type="spellStart"/>
      <w:r w:rsidRPr="00552F5D">
        <w:rPr>
          <w:rFonts w:ascii="Times New Roman" w:hAnsi="Times New Roman"/>
        </w:rPr>
        <w:t>refrencyjnych</w:t>
      </w:r>
      <w:proofErr w:type="spellEnd"/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Połączenie do komputera poprzez port USB 2.0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 xml:space="preserve">Do systemu dołączony </w:t>
      </w:r>
      <w:r>
        <w:rPr>
          <w:rFonts w:ascii="Times New Roman" w:hAnsi="Times New Roman"/>
        </w:rPr>
        <w:t>powinien być</w:t>
      </w:r>
      <w:r w:rsidRPr="00552F5D">
        <w:rPr>
          <w:rFonts w:ascii="Times New Roman" w:hAnsi="Times New Roman"/>
        </w:rPr>
        <w:t xml:space="preserve"> komputer zapewniający prawidłowe funkcjonowanie aparatu i oprogramowania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Urządzenie nie wymaga kalibracji w siedzibie użytkownika</w:t>
      </w:r>
    </w:p>
    <w:p w:rsidR="0096491F" w:rsidRPr="00552F5D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Waga urządzenia: max do 22 kg</w:t>
      </w:r>
    </w:p>
    <w:p w:rsidR="0096491F" w:rsidRDefault="0096491F" w:rsidP="0096491F">
      <w:pPr>
        <w:pStyle w:val="Zwykytekst"/>
        <w:rPr>
          <w:rFonts w:ascii="Times New Roman" w:hAnsi="Times New Roman"/>
        </w:rPr>
      </w:pPr>
      <w:r w:rsidRPr="00552F5D">
        <w:rPr>
          <w:rFonts w:ascii="Times New Roman" w:hAnsi="Times New Roman"/>
        </w:rPr>
        <w:t>Wymiary urządzenia: 33 cm x 56 cm x 36 cm (W x D x H)</w:t>
      </w:r>
    </w:p>
    <w:p w:rsidR="0096491F" w:rsidRDefault="0096491F" w:rsidP="0096491F">
      <w:pPr>
        <w:pStyle w:val="Zwykytekst"/>
        <w:rPr>
          <w:rFonts w:ascii="Times New Roman" w:hAnsi="Times New Roman"/>
        </w:rPr>
      </w:pPr>
    </w:p>
    <w:p w:rsidR="0096491F" w:rsidRPr="0096491F" w:rsidRDefault="0096491F" w:rsidP="0096491F">
      <w:pPr>
        <w:pStyle w:val="Zwykytekst"/>
        <w:rPr>
          <w:rFonts w:ascii="Times New Roman" w:hAnsi="Times New Roman"/>
          <w:sz w:val="24"/>
          <w:szCs w:val="24"/>
        </w:rPr>
      </w:pPr>
      <w:r w:rsidRPr="0096491F">
        <w:rPr>
          <w:rFonts w:ascii="Times New Roman" w:hAnsi="Times New Roman"/>
          <w:sz w:val="24"/>
          <w:szCs w:val="24"/>
        </w:rPr>
        <w:t xml:space="preserve">Termin/okres realizacji zamówienia: </w:t>
      </w:r>
      <w:r w:rsidR="00465451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491F">
        <w:rPr>
          <w:rFonts w:ascii="Times New Roman" w:hAnsi="Times New Roman"/>
          <w:sz w:val="24"/>
          <w:szCs w:val="24"/>
        </w:rPr>
        <w:t>16 tygodni od podpisania umowy</w:t>
      </w:r>
      <w:r>
        <w:rPr>
          <w:rFonts w:ascii="Times New Roman" w:hAnsi="Times New Roman"/>
          <w:sz w:val="24"/>
          <w:szCs w:val="24"/>
        </w:rPr>
        <w:t>.</w:t>
      </w:r>
    </w:p>
    <w:p w:rsidR="00B64201" w:rsidRDefault="0096491F" w:rsidP="003A7D5F">
      <w:pPr>
        <w:pStyle w:val="Zwykytekst"/>
      </w:pPr>
      <w:r w:rsidRPr="0096491F">
        <w:rPr>
          <w:rFonts w:ascii="Times New Roman" w:hAnsi="Times New Roman"/>
          <w:sz w:val="24"/>
          <w:szCs w:val="24"/>
        </w:rPr>
        <w:t>Gwarancja na urządzenie  24 miesiące</w:t>
      </w:r>
      <w:r>
        <w:rPr>
          <w:rFonts w:ascii="Times New Roman" w:hAnsi="Times New Roman"/>
          <w:sz w:val="24"/>
          <w:szCs w:val="24"/>
        </w:rPr>
        <w:t>.</w:t>
      </w:r>
    </w:p>
    <w:sectPr w:rsidR="00B64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1F"/>
    <w:rsid w:val="003A7D5F"/>
    <w:rsid w:val="00465451"/>
    <w:rsid w:val="008B32A1"/>
    <w:rsid w:val="0096491F"/>
    <w:rsid w:val="00B6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4B33"/>
  <w15:chartTrackingRefBased/>
  <w15:docId w15:val="{32320847-8F19-4E00-B882-B933891ED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4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96491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6491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2881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Alicja Bemowicz</cp:lastModifiedBy>
  <cp:revision>4</cp:revision>
  <dcterms:created xsi:type="dcterms:W3CDTF">2022-10-31T13:38:00Z</dcterms:created>
  <dcterms:modified xsi:type="dcterms:W3CDTF">2022-11-03T10:46:00Z</dcterms:modified>
</cp:coreProperties>
</file>