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931CB" w:rsidRDefault="001B57CE" w:rsidP="005931CB">
      <w:pPr>
        <w:rPr>
          <w:rFonts w:ascii="Arial Narrow" w:hAnsi="Arial Narrow" w:cs="Arial"/>
          <w:sz w:val="22"/>
          <w:szCs w:val="24"/>
        </w:rPr>
      </w:pPr>
      <w:r w:rsidRPr="005931C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>
        <w:rPr>
          <w:rFonts w:ascii="Arial Narrow" w:hAnsi="Arial Narrow" w:cs="Arial"/>
          <w:b/>
          <w:bCs/>
          <w:sz w:val="22"/>
          <w:szCs w:val="24"/>
        </w:rPr>
        <w:tab/>
      </w:r>
      <w:r w:rsidR="005931CB" w:rsidRPr="005931CB">
        <w:rPr>
          <w:rFonts w:ascii="Arial Narrow" w:hAnsi="Arial Narrow" w:cs="Arial"/>
          <w:sz w:val="22"/>
          <w:szCs w:val="24"/>
        </w:rPr>
        <w:t xml:space="preserve"> Bydgoszcz dnia: 2022-11-0</w:t>
      </w:r>
      <w:r w:rsidR="00384994">
        <w:rPr>
          <w:rFonts w:ascii="Arial Narrow" w:hAnsi="Arial Narrow" w:cs="Arial"/>
          <w:sz w:val="22"/>
          <w:szCs w:val="24"/>
        </w:rPr>
        <w:t>9</w:t>
      </w:r>
    </w:p>
    <w:p w:rsidR="006A5DF1" w:rsidRPr="005931CB" w:rsidRDefault="001B57CE" w:rsidP="006A5DF1">
      <w:pPr>
        <w:rPr>
          <w:rFonts w:ascii="Arial Narrow" w:hAnsi="Arial Narrow" w:cs="Arial"/>
          <w:sz w:val="22"/>
          <w:szCs w:val="24"/>
        </w:rPr>
      </w:pPr>
      <w:r w:rsidRPr="005931CB">
        <w:rPr>
          <w:rFonts w:ascii="Arial Narrow" w:hAnsi="Arial Narrow" w:cs="Arial"/>
          <w:sz w:val="22"/>
          <w:szCs w:val="24"/>
        </w:rPr>
        <w:t>Powstańców Warszawy</w:t>
      </w:r>
      <w:r w:rsidR="006A5DF1" w:rsidRPr="005931CB">
        <w:rPr>
          <w:rFonts w:ascii="Arial Narrow" w:hAnsi="Arial Narrow" w:cs="Arial"/>
          <w:sz w:val="22"/>
          <w:szCs w:val="24"/>
        </w:rPr>
        <w:t xml:space="preserve"> </w:t>
      </w:r>
      <w:r w:rsidRPr="005931CB">
        <w:rPr>
          <w:rFonts w:ascii="Arial Narrow" w:hAnsi="Arial Narrow" w:cs="Arial"/>
          <w:sz w:val="22"/>
          <w:szCs w:val="24"/>
        </w:rPr>
        <w:t>5</w:t>
      </w:r>
    </w:p>
    <w:p w:rsidR="006A5DF1" w:rsidRDefault="001B57CE" w:rsidP="006A5DF1">
      <w:pPr>
        <w:rPr>
          <w:rFonts w:ascii="Arial Narrow" w:hAnsi="Arial Narrow" w:cs="Arial"/>
          <w:sz w:val="22"/>
          <w:szCs w:val="24"/>
        </w:rPr>
      </w:pPr>
      <w:r w:rsidRPr="005931CB">
        <w:rPr>
          <w:rFonts w:ascii="Arial Narrow" w:hAnsi="Arial Narrow" w:cs="Arial"/>
          <w:sz w:val="22"/>
          <w:szCs w:val="24"/>
        </w:rPr>
        <w:t>85-681</w:t>
      </w:r>
      <w:r w:rsidR="006A5DF1" w:rsidRPr="005931CB">
        <w:rPr>
          <w:rFonts w:ascii="Arial Narrow" w:hAnsi="Arial Narrow" w:cs="Arial"/>
          <w:sz w:val="22"/>
          <w:szCs w:val="24"/>
        </w:rPr>
        <w:t xml:space="preserve"> </w:t>
      </w:r>
      <w:r w:rsidRPr="005931CB">
        <w:rPr>
          <w:rFonts w:ascii="Arial Narrow" w:hAnsi="Arial Narrow" w:cs="Arial"/>
          <w:sz w:val="22"/>
          <w:szCs w:val="24"/>
        </w:rPr>
        <w:t>Bydgoszcz</w:t>
      </w:r>
    </w:p>
    <w:p w:rsidR="005931CB" w:rsidRDefault="005931CB" w:rsidP="006A5DF1">
      <w:pPr>
        <w:rPr>
          <w:rFonts w:ascii="Arial Narrow" w:hAnsi="Arial Narrow" w:cs="Arial"/>
          <w:sz w:val="22"/>
          <w:szCs w:val="24"/>
        </w:rPr>
      </w:pPr>
    </w:p>
    <w:p w:rsidR="005931CB" w:rsidRPr="005931CB" w:rsidRDefault="005931CB" w:rsidP="006A5DF1">
      <w:pPr>
        <w:rPr>
          <w:rFonts w:ascii="Arial Narrow" w:hAnsi="Arial Narrow" w:cs="Arial"/>
          <w:b/>
          <w:sz w:val="22"/>
          <w:szCs w:val="24"/>
        </w:rPr>
      </w:pPr>
      <w:r w:rsidRPr="005931CB">
        <w:rPr>
          <w:rFonts w:ascii="Arial Narrow" w:hAnsi="Arial Narrow" w:cs="Arial"/>
          <w:b/>
          <w:sz w:val="22"/>
          <w:szCs w:val="24"/>
        </w:rPr>
        <w:t>Pismo:</w:t>
      </w:r>
      <w:r w:rsidR="00F76DC9">
        <w:rPr>
          <w:rFonts w:ascii="Arial Narrow" w:hAnsi="Arial Narrow" w:cs="Arial"/>
          <w:b/>
          <w:sz w:val="22"/>
          <w:szCs w:val="24"/>
        </w:rPr>
        <w:t xml:space="preserve"> 8845/22</w:t>
      </w:r>
    </w:p>
    <w:p w:rsidR="005931CB" w:rsidRPr="005931CB" w:rsidRDefault="005931CB" w:rsidP="006A5DF1">
      <w:pPr>
        <w:rPr>
          <w:rFonts w:ascii="Arial Narrow" w:hAnsi="Arial Narrow" w:cs="Arial"/>
          <w:b/>
          <w:sz w:val="22"/>
          <w:szCs w:val="24"/>
        </w:rPr>
      </w:pPr>
      <w:r w:rsidRPr="005931CB">
        <w:rPr>
          <w:rFonts w:ascii="Arial Narrow" w:hAnsi="Arial Narrow" w:cs="Arial"/>
          <w:b/>
          <w:sz w:val="22"/>
          <w:szCs w:val="24"/>
        </w:rPr>
        <w:t>Sprawa nr: 146/2022</w:t>
      </w:r>
    </w:p>
    <w:p w:rsidR="006A5DF1" w:rsidRPr="005931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931C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931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5931CB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5931CB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5931C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5931C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931CB">
        <w:rPr>
          <w:rFonts w:ascii="Arial Narrow" w:hAnsi="Arial Narrow" w:cs="Arial"/>
          <w:szCs w:val="28"/>
        </w:rPr>
        <w:t>WYJAŚNIENI</w:t>
      </w:r>
      <w:r w:rsidR="00520165" w:rsidRPr="005931CB">
        <w:rPr>
          <w:rFonts w:ascii="Arial Narrow" w:hAnsi="Arial Narrow" w:cs="Arial"/>
          <w:szCs w:val="28"/>
        </w:rPr>
        <w:t>A</w:t>
      </w:r>
      <w:r w:rsidR="00632C3C" w:rsidRPr="005931CB">
        <w:rPr>
          <w:rFonts w:ascii="Arial Narrow" w:hAnsi="Arial Narrow" w:cs="Arial"/>
          <w:szCs w:val="28"/>
        </w:rPr>
        <w:t xml:space="preserve"> TREŚCI</w:t>
      </w:r>
      <w:r w:rsidR="0029606A" w:rsidRPr="005931CB">
        <w:rPr>
          <w:rFonts w:ascii="Arial Narrow" w:hAnsi="Arial Narrow" w:cs="Arial"/>
          <w:szCs w:val="28"/>
        </w:rPr>
        <w:t xml:space="preserve"> SWZ</w:t>
      </w:r>
    </w:p>
    <w:p w:rsidR="006D4AB3" w:rsidRPr="005931CB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5931CB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5931CB">
        <w:rPr>
          <w:rFonts w:ascii="Arial Narrow" w:hAnsi="Arial Narrow" w:cs="Arial"/>
          <w:sz w:val="24"/>
          <w:szCs w:val="24"/>
        </w:rPr>
        <w:t>p</w:t>
      </w:r>
      <w:r w:rsidRPr="005931CB">
        <w:rPr>
          <w:rFonts w:ascii="Arial Narrow" w:hAnsi="Arial Narrow" w:cs="Arial"/>
          <w:sz w:val="24"/>
          <w:szCs w:val="24"/>
        </w:rPr>
        <w:t>ostępowani</w:t>
      </w:r>
      <w:r w:rsidR="006A5DF1" w:rsidRPr="005931CB">
        <w:rPr>
          <w:rFonts w:ascii="Arial Narrow" w:hAnsi="Arial Narrow" w:cs="Arial"/>
          <w:sz w:val="24"/>
          <w:szCs w:val="24"/>
        </w:rPr>
        <w:t>a</w:t>
      </w:r>
      <w:r w:rsidRPr="005931CB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5931CB">
        <w:rPr>
          <w:rFonts w:ascii="Arial Narrow" w:hAnsi="Arial Narrow" w:cs="Arial"/>
          <w:sz w:val="24"/>
          <w:szCs w:val="24"/>
        </w:rPr>
        <w:t>go</w:t>
      </w:r>
      <w:r w:rsidRPr="005931CB">
        <w:rPr>
          <w:rFonts w:ascii="Arial Narrow" w:hAnsi="Arial Narrow" w:cs="Arial"/>
          <w:sz w:val="24"/>
          <w:szCs w:val="24"/>
        </w:rPr>
        <w:t xml:space="preserve"> w trybie </w:t>
      </w:r>
      <w:r w:rsidR="001B57CE" w:rsidRPr="005931CB">
        <w:rPr>
          <w:rFonts w:ascii="Arial Narrow" w:hAnsi="Arial Narrow" w:cs="Arial"/>
          <w:sz w:val="24"/>
          <w:szCs w:val="24"/>
        </w:rPr>
        <w:t>przetarg</w:t>
      </w:r>
      <w:r w:rsidR="005931CB">
        <w:rPr>
          <w:rFonts w:ascii="Arial Narrow" w:hAnsi="Arial Narrow" w:cs="Arial"/>
          <w:sz w:val="24"/>
          <w:szCs w:val="24"/>
        </w:rPr>
        <w:t>u</w:t>
      </w:r>
      <w:r w:rsidR="001B57CE" w:rsidRPr="005931CB">
        <w:rPr>
          <w:rFonts w:ascii="Arial Narrow" w:hAnsi="Arial Narrow" w:cs="Arial"/>
          <w:sz w:val="24"/>
          <w:szCs w:val="24"/>
        </w:rPr>
        <w:t xml:space="preserve"> nieograniczon</w:t>
      </w:r>
      <w:r w:rsidR="005931CB">
        <w:rPr>
          <w:rFonts w:ascii="Arial Narrow" w:hAnsi="Arial Narrow" w:cs="Arial"/>
          <w:sz w:val="24"/>
          <w:szCs w:val="24"/>
        </w:rPr>
        <w:t>ego</w:t>
      </w:r>
      <w:r w:rsidRPr="005931CB">
        <w:rPr>
          <w:rFonts w:ascii="Arial Narrow" w:hAnsi="Arial Narrow" w:cs="Arial"/>
          <w:b/>
          <w:sz w:val="24"/>
          <w:szCs w:val="24"/>
        </w:rPr>
        <w:t xml:space="preserve"> </w:t>
      </w:r>
      <w:r w:rsidRPr="005931CB">
        <w:rPr>
          <w:rFonts w:ascii="Arial Narrow" w:hAnsi="Arial Narrow" w:cs="Arial"/>
          <w:bCs/>
          <w:sz w:val="24"/>
          <w:szCs w:val="24"/>
        </w:rPr>
        <w:t>na</w:t>
      </w:r>
      <w:r w:rsidRPr="005931CB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5931CB">
        <w:rPr>
          <w:rFonts w:ascii="Arial Narrow" w:hAnsi="Arial Narrow" w:cs="Arial"/>
          <w:bCs/>
          <w:sz w:val="24"/>
          <w:szCs w:val="24"/>
        </w:rPr>
        <w:t>”</w:t>
      </w:r>
      <w:r w:rsidR="001B57CE" w:rsidRPr="005931CB">
        <w:rPr>
          <w:rFonts w:ascii="Arial Narrow" w:hAnsi="Arial Narrow" w:cs="Arial"/>
          <w:b/>
          <w:bCs/>
          <w:sz w:val="24"/>
          <w:szCs w:val="24"/>
        </w:rPr>
        <w:t>Dostawy sukcesywne stymulatorów i kardiowerterów na okres 24 miesięcy</w:t>
      </w:r>
      <w:r w:rsidR="00E72428" w:rsidRPr="005931CB">
        <w:rPr>
          <w:rFonts w:ascii="Arial Narrow" w:hAnsi="Arial Narrow" w:cs="Arial"/>
          <w:bCs/>
          <w:sz w:val="24"/>
          <w:szCs w:val="24"/>
        </w:rPr>
        <w:t>”</w:t>
      </w:r>
      <w:r w:rsidRPr="005931CB">
        <w:rPr>
          <w:rFonts w:ascii="Arial Narrow" w:hAnsi="Arial Narrow" w:cs="Arial"/>
          <w:b/>
          <w:sz w:val="24"/>
          <w:szCs w:val="24"/>
        </w:rPr>
        <w:t xml:space="preserve"> </w:t>
      </w:r>
      <w:r w:rsidRPr="005931CB">
        <w:rPr>
          <w:rFonts w:ascii="Arial Narrow" w:hAnsi="Arial Narrow" w:cs="Arial"/>
          <w:bCs/>
          <w:sz w:val="24"/>
          <w:szCs w:val="24"/>
        </w:rPr>
        <w:t>– znak sprawy</w:t>
      </w:r>
      <w:r w:rsidRPr="005931CB">
        <w:rPr>
          <w:rFonts w:ascii="Arial Narrow" w:hAnsi="Arial Narrow" w:cs="Arial"/>
          <w:b/>
          <w:sz w:val="24"/>
          <w:szCs w:val="24"/>
        </w:rPr>
        <w:t xml:space="preserve"> </w:t>
      </w:r>
      <w:r w:rsidR="001B57CE" w:rsidRPr="005931CB">
        <w:rPr>
          <w:rFonts w:ascii="Arial Narrow" w:hAnsi="Arial Narrow" w:cs="Arial"/>
          <w:b/>
          <w:sz w:val="24"/>
          <w:szCs w:val="24"/>
        </w:rPr>
        <w:t>146/2022</w:t>
      </w:r>
      <w:r w:rsidRPr="005931CB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5931C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931CB">
        <w:rPr>
          <w:rFonts w:ascii="Arial Narrow" w:hAnsi="Arial Narrow" w:cs="Arial"/>
          <w:sz w:val="24"/>
          <w:szCs w:val="24"/>
        </w:rPr>
        <w:t xml:space="preserve">Zamawiający, </w:t>
      </w:r>
      <w:r w:rsidR="001B57CE" w:rsidRPr="005931CB">
        <w:rPr>
          <w:rFonts w:ascii="Arial Narrow" w:hAnsi="Arial Narrow" w:cs="Arial"/>
          <w:b/>
          <w:sz w:val="24"/>
          <w:szCs w:val="24"/>
        </w:rPr>
        <w:t>10WSzKzP SPZOZ</w:t>
      </w:r>
      <w:r w:rsidRPr="005931C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5931CB">
        <w:rPr>
          <w:rFonts w:ascii="Arial Narrow" w:hAnsi="Arial Narrow" w:cs="Arial"/>
          <w:sz w:val="24"/>
          <w:szCs w:val="24"/>
        </w:rPr>
        <w:t>1</w:t>
      </w:r>
      <w:r w:rsidRPr="005931CB">
        <w:rPr>
          <w:rFonts w:ascii="Arial Narrow" w:hAnsi="Arial Narrow" w:cs="Arial"/>
          <w:sz w:val="24"/>
          <w:szCs w:val="24"/>
        </w:rPr>
        <w:t>3</w:t>
      </w:r>
      <w:r w:rsidR="0029606A" w:rsidRPr="005931CB">
        <w:rPr>
          <w:rFonts w:ascii="Arial Narrow" w:hAnsi="Arial Narrow" w:cs="Arial"/>
          <w:sz w:val="24"/>
          <w:szCs w:val="24"/>
        </w:rPr>
        <w:t>5</w:t>
      </w:r>
      <w:r w:rsidRPr="005931CB">
        <w:rPr>
          <w:rFonts w:ascii="Arial Narrow" w:hAnsi="Arial Narrow" w:cs="Arial"/>
          <w:sz w:val="24"/>
          <w:szCs w:val="24"/>
        </w:rPr>
        <w:t xml:space="preserve"> ust</w:t>
      </w:r>
      <w:r w:rsidR="00D9049C" w:rsidRPr="005931CB">
        <w:rPr>
          <w:rFonts w:ascii="Arial Narrow" w:hAnsi="Arial Narrow" w:cs="Arial"/>
          <w:sz w:val="24"/>
          <w:szCs w:val="24"/>
        </w:rPr>
        <w:t xml:space="preserve">. </w:t>
      </w:r>
      <w:r w:rsidR="0029606A" w:rsidRPr="005931CB">
        <w:rPr>
          <w:rFonts w:ascii="Arial Narrow" w:hAnsi="Arial Narrow" w:cs="Arial"/>
          <w:sz w:val="24"/>
          <w:szCs w:val="24"/>
        </w:rPr>
        <w:t>6</w:t>
      </w:r>
      <w:r w:rsidRPr="005931C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931CB">
        <w:rPr>
          <w:rFonts w:ascii="Arial Narrow" w:hAnsi="Arial Narrow" w:cs="Arial"/>
          <w:sz w:val="24"/>
          <w:szCs w:val="24"/>
        </w:rPr>
        <w:t>11</w:t>
      </w:r>
      <w:r w:rsidRPr="005931CB">
        <w:rPr>
          <w:rFonts w:ascii="Arial Narrow" w:hAnsi="Arial Narrow" w:cs="Arial"/>
          <w:sz w:val="24"/>
          <w:szCs w:val="24"/>
        </w:rPr>
        <w:t xml:space="preserve"> </w:t>
      </w:r>
      <w:r w:rsidR="0029606A" w:rsidRPr="005931CB">
        <w:rPr>
          <w:rFonts w:ascii="Arial Narrow" w:hAnsi="Arial Narrow" w:cs="Arial"/>
          <w:sz w:val="24"/>
          <w:szCs w:val="24"/>
        </w:rPr>
        <w:t xml:space="preserve">września </w:t>
      </w:r>
      <w:r w:rsidRPr="005931CB">
        <w:rPr>
          <w:rFonts w:ascii="Arial Narrow" w:hAnsi="Arial Narrow" w:cs="Arial"/>
          <w:sz w:val="24"/>
          <w:szCs w:val="24"/>
        </w:rPr>
        <w:t>20</w:t>
      </w:r>
      <w:r w:rsidR="0029606A" w:rsidRPr="005931CB">
        <w:rPr>
          <w:rFonts w:ascii="Arial Narrow" w:hAnsi="Arial Narrow" w:cs="Arial"/>
          <w:sz w:val="24"/>
          <w:szCs w:val="24"/>
        </w:rPr>
        <w:t>19</w:t>
      </w:r>
      <w:r w:rsidRPr="005931CB">
        <w:rPr>
          <w:rFonts w:ascii="Arial Narrow" w:hAnsi="Arial Narrow" w:cs="Arial"/>
          <w:sz w:val="24"/>
          <w:szCs w:val="24"/>
        </w:rPr>
        <w:t xml:space="preserve"> r</w:t>
      </w:r>
      <w:r w:rsidR="0029606A" w:rsidRPr="005931CB">
        <w:rPr>
          <w:rFonts w:ascii="Arial Narrow" w:hAnsi="Arial Narrow" w:cs="Arial"/>
          <w:sz w:val="24"/>
          <w:szCs w:val="24"/>
        </w:rPr>
        <w:t>.</w:t>
      </w:r>
      <w:r w:rsidRPr="005931C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931CB">
        <w:rPr>
          <w:rFonts w:ascii="Arial Narrow" w:hAnsi="Arial Narrow" w:cs="Arial"/>
          <w:sz w:val="24"/>
          <w:szCs w:val="24"/>
        </w:rPr>
        <w:t>z</w:t>
      </w:r>
      <w:r w:rsidRPr="005931C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931CB">
        <w:rPr>
          <w:rFonts w:ascii="Arial Narrow" w:hAnsi="Arial Narrow" w:cs="Arial"/>
          <w:sz w:val="24"/>
          <w:szCs w:val="24"/>
        </w:rPr>
        <w:t>p</w:t>
      </w:r>
      <w:r w:rsidRPr="005931CB">
        <w:rPr>
          <w:rFonts w:ascii="Arial Narrow" w:hAnsi="Arial Narrow" w:cs="Arial"/>
          <w:sz w:val="24"/>
          <w:szCs w:val="24"/>
        </w:rPr>
        <w:t xml:space="preserve">ublicznych </w:t>
      </w:r>
      <w:r w:rsidR="001B57CE" w:rsidRPr="005931CB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B57CE" w:rsidRPr="005931CB">
        <w:rPr>
          <w:rFonts w:ascii="Arial Narrow" w:hAnsi="Arial Narrow" w:cs="Arial"/>
          <w:sz w:val="24"/>
          <w:szCs w:val="24"/>
        </w:rPr>
        <w:t>z</w:t>
      </w:r>
      <w:proofErr w:type="gramEnd"/>
      <w:r w:rsidR="001B57CE" w:rsidRPr="005931CB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5931CB">
        <w:rPr>
          <w:rFonts w:ascii="Arial Narrow" w:hAnsi="Arial Narrow" w:cs="Arial"/>
          <w:sz w:val="24"/>
          <w:szCs w:val="24"/>
        </w:rPr>
        <w:t xml:space="preserve">, </w:t>
      </w:r>
      <w:r w:rsidR="00D9049C" w:rsidRPr="005931CB">
        <w:rPr>
          <w:rFonts w:ascii="Arial Narrow" w:hAnsi="Arial Narrow" w:cs="Arial"/>
          <w:sz w:val="24"/>
          <w:szCs w:val="24"/>
        </w:rPr>
        <w:t>udostępnia</w:t>
      </w:r>
      <w:r w:rsidR="00BE7BFD" w:rsidRPr="005931C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931C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931C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931C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931C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5931C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5931CB">
        <w:rPr>
          <w:rFonts w:ascii="Arial Narrow" w:hAnsi="Arial Narrow" w:cs="Arial"/>
          <w:sz w:val="24"/>
          <w:szCs w:val="24"/>
        </w:rPr>
        <w:t>wraz z wyjaśnieniami</w:t>
      </w:r>
      <w:r w:rsidR="0012774F" w:rsidRPr="005931C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57CE" w:rsidRPr="005931CB" w:rsidTr="00825DC6">
        <w:tc>
          <w:tcPr>
            <w:tcW w:w="9356" w:type="dxa"/>
            <w:shd w:val="clear" w:color="auto" w:fill="auto"/>
          </w:tcPr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1CB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4: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1. Czy Zamawiający wyrazi zgodę na dodanie załącznika do umowy w postaci umowy przechowania, której wzór przesyłamy w załączeniu? (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>. §2 ust. 1; dot. um. przechowania)</w:t>
            </w:r>
          </w:p>
          <w:p w:rsidR="001B57CE" w:rsidRPr="005931CB" w:rsidRDefault="005931CB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dotychczasowymi załącznikami do SWZ.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2. Czy ze względu na brak odpowiednich zapisów zamawiający uzupełni treść umowy o wskazanie 3 dniowego terminu na przekazanie wykonawcy informacji o zużyciu towaru z depozytu? (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>. §2 ust. 1; dot. um. przechowania)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3. Czy Zamawiający wyrazi zgodę na wprowadzenie zapisu o wykorzystaniu w pierwszej kolejności towarów z najkrótszym terminem ważności? (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>. §2 ust. 1; dot. um. przechowania)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4.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5. W celu zapewnienia równego traktowania Stron i umożliwienia Wykonawcy sprawdzenia zasadności reklamacji wnosimy o wprowadzenie w § 2 ust. 21 projektu umowy 5 dniowego terminu na rozpatrzenie reklamacji.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wyraża zgodę.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6. Czy Zamawiający wyrazi zgodę na dodanie załącznika do umowy w postaci umowy udostępnienia, której wzór przesyłamy w załączeniu? (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>. §2 ust. 22; dot. um. użyczenia)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7. Czy w celu miarkowania kar umownych Zamawiający dokona modyfikacji postanowień projektu przyszłej umowy w zakresie zapisów § 8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ust. 1: </w:t>
            </w:r>
            <w:proofErr w:type="gramEnd"/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lastRenderedPageBreak/>
              <w:t>1. Wykonawca zapłaci Zamawiającemu kary umowne: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2) 0,5% wartości niedostarczonej partii towaru - za każdą rozpoczętą godzinę zwłoki w uzupełnieniu "banku" w stosunku do terminu określonego § 8 ust. 1 umowy przechowania, jednak nie więcej niż 10% wartości brutto niedostarczonej partii towaru;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3) 0,5%  wartości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brutto reklamowanej partii towaru - za każdy rozpoczęty dzień zwłoki w wymianie towaru na wolny od wad w stosunku do terminu określonego w § 2 ust. 21, jednak nie więcej niż 10% wartości brutto reklamowanej partii towaru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4) 50,00 zł.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za każdy dzień zwłoki w zakresie utworzenia "banku" w stosunku do terminu określonego w § 2 ust. 1 niniejszej umowy oraz w § 3 ust. 1 umowy przechowania, jednak nie więcej niż 10% wartości brutto niedostarczonej partii towaru.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5) 50,00 zł.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za każdy dzień zwłoki w zakresie dostarczenia przedmiotu użyczenia w stosunku do terminu określonego w pkt. 3 umowy użyczenia, potwierdzone protokołem przekazania sprzętu, jednak nie więcej niż 10% wartości brutto przedmiotu użyczenia.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849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1B57CE" w:rsidRPr="005931CB" w:rsidRDefault="001B57CE" w:rsidP="00825DC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1B57CE" w:rsidRPr="005931CB" w:rsidTr="00825DC6">
        <w:tc>
          <w:tcPr>
            <w:tcW w:w="9356" w:type="dxa"/>
            <w:shd w:val="clear" w:color="auto" w:fill="auto"/>
          </w:tcPr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1CB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 xml:space="preserve">PYTANIE NR 5: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 (dotyczy zadania 1 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7)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charakteryzujące się możliwością programowania czułości, programowania wektora wyczuwania (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ring,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coil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), programowania okresu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blankingu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po pobudzeniu własnym,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wystymulowanym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? Parametry te mogą być wykorzystane do eliminacji zjawiska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. Ponadto urządzenie posiada algorytm dyskryminujący zjawisko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, który w wypadku jego wystąpienia wstrzymuje terapię, nie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wpływając  na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czułość urządzenia i nie niosąc ze sobą potencjalnego ryzyka opóźnienia bądź braku detekcji arytmii, jakie może nastąpić przy innych rozwiązaniach dotyczących unikania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01BC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 (dotyczy zadania 1,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11)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defibrylacyjne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bipolarne z możliwością uzyskania również wektora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integrated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bipolar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koil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01BC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C65B8">
              <w:rPr>
                <w:rFonts w:ascii="Arial Narrow" w:hAnsi="Arial Narrow" w:cs="Arial"/>
                <w:b/>
                <w:sz w:val="22"/>
                <w:szCs w:val="22"/>
              </w:rPr>
              <w:t>Zamawiający zaakceptuje.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 (dotyczy zadania 1,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12)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o średnicy </w:t>
            </w:r>
            <w:r w:rsidR="006612EA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8,6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, które funkcjonują w konfiguracji bipolarnej jak </w:t>
            </w:r>
            <w:r w:rsidR="006612EA">
              <w:rPr>
                <w:rFonts w:ascii="Arial Narrow" w:hAnsi="Arial Narrow" w:cs="Arial"/>
                <w:sz w:val="22"/>
                <w:szCs w:val="22"/>
              </w:rPr>
              <w:br/>
            </w: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integrated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bipolar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C65B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</w:t>
            </w:r>
            <w:r w:rsidR="006612EA">
              <w:rPr>
                <w:rFonts w:ascii="Arial Narrow" w:hAnsi="Arial Narrow" w:cs="Arial"/>
                <w:b/>
                <w:sz w:val="22"/>
                <w:szCs w:val="22"/>
              </w:rPr>
              <w:t>wyraża zgodę</w:t>
            </w:r>
            <w:r w:rsidR="000C65B8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4 (dotyczy zadania 1,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15)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z żywotnością baterii 7,8 lat dla warunków (100% stymulacji 2,5V, dwa wyładowania do maksymalnej energii rocznie?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C65B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336C4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5 (dotyczy zadania 1,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17)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manualnego pomiarów progów stymulacji, automatycznego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336C4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</w:t>
            </w:r>
            <w:r w:rsidR="006612EA">
              <w:rPr>
                <w:rFonts w:ascii="Arial Narrow" w:hAnsi="Arial Narrow" w:cs="Arial"/>
                <w:b/>
                <w:sz w:val="22"/>
                <w:szCs w:val="22"/>
              </w:rPr>
              <w:t>wyraża zgodę</w:t>
            </w:r>
            <w:r w:rsidR="006336C4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6 (dotyczy zadania 3 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8)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charakteryzujące się możliwością programowania czułości, </w:t>
            </w:r>
            <w:r w:rsidRPr="005931CB">
              <w:rPr>
                <w:rFonts w:ascii="Arial Narrow" w:hAnsi="Arial Narrow" w:cs="Arial"/>
                <w:sz w:val="22"/>
                <w:szCs w:val="22"/>
              </w:rPr>
              <w:lastRenderedPageBreak/>
              <w:t>programowania wektora wyczuwania (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ring,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coil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), programowania okresu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blankingu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po pobudzeniu własnym,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wystymulowanym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? Parametry te mogą być wykorzystane do eliminacji zjawiska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. Ponadto urządzenie posiada algorytm dyskryminujący zjawisko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, który w wypadku jego wystąpienia wstrzymuje terapię, nie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wpływając  na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czułość urządzenia i nie niosąc ze sobą potencjalnego ryzyka opóźnienia bądź braku detekcji arytmii, jakie może nastąpić przy innych rozwiązaniach dotyczących unikania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25DE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01ADA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7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9)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defibrylacyjne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bipolarne z możliwością uzyskania również wektora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integrated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bipolar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koil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1AD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zaakceptuje.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8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11)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stymulacyjne bipolarne?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1AD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zaakceptuje.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9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12)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o średnicy </w:t>
            </w:r>
            <w:r w:rsidR="006612EA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8,6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, które funkcjonują w konfiguracji bipolarnej jak i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integrated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bipolar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3BA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612EA">
              <w:rPr>
                <w:rFonts w:ascii="Arial Narrow" w:hAnsi="Arial Narrow" w:cs="Arial"/>
                <w:b/>
                <w:sz w:val="22"/>
                <w:szCs w:val="22"/>
              </w:rPr>
              <w:t>Zamawiający wyraża zgodę</w:t>
            </w:r>
            <w:r w:rsidR="00EB3BA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10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15)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z automatyczną zmianą trybu stymulacji DDD (R) do DDIR w wypadku wykrycia arytmii przedsionkowej?</w:t>
            </w:r>
          </w:p>
          <w:p w:rsidR="006612EA" w:rsidRPr="005931CB" w:rsidRDefault="006612EA" w:rsidP="006612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11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17)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z żywotnością baterii 7,6 lat dla warunków 100% stymulacji dwa wyładowania do maksymalnej energii rocznie?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175C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1116D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</w:t>
            </w:r>
            <w:r w:rsidR="0028326B">
              <w:rPr>
                <w:rFonts w:ascii="Arial Narrow" w:hAnsi="Arial Narrow" w:cs="Arial"/>
                <w:b/>
                <w:sz w:val="22"/>
                <w:szCs w:val="22"/>
              </w:rPr>
              <w:t xml:space="preserve">zapisami </w:t>
            </w:r>
            <w:r w:rsidR="0061116D">
              <w:rPr>
                <w:rFonts w:ascii="Arial Narrow" w:hAnsi="Arial Narrow" w:cs="Arial"/>
                <w:b/>
                <w:sz w:val="22"/>
                <w:szCs w:val="22"/>
              </w:rPr>
              <w:t>swz.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12 (dotyczy zadania 3,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19)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manualnego pomiarów progów stymulacji, automatycznego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1116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26B">
              <w:rPr>
                <w:rFonts w:ascii="Arial Narrow" w:hAnsi="Arial Narrow" w:cs="Arial"/>
                <w:b/>
                <w:sz w:val="22"/>
                <w:szCs w:val="22"/>
              </w:rPr>
              <w:t>Zamawiający wyraża zgodę</w:t>
            </w:r>
            <w:r w:rsidR="006111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13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6)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o max. energii defibrylacji 36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J, ? 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Możliwość dostarczenia elektrody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defibrylacujnej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podskórnej jako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rozwiązania potwierdzonego klinicznie, które obniża próg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tefibrylacji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u pacjenta.</w:t>
            </w:r>
          </w:p>
          <w:p w:rsidR="0028326B" w:rsidRPr="005931CB" w:rsidRDefault="0028326B" w:rsidP="0028326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14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16)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posiadajace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algorytm umożliwiający zmianę trybu stymulacji z DDD do DDIR w wypadku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tachyarytmii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przedsionkowej?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1116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26B">
              <w:rPr>
                <w:rFonts w:ascii="Arial Narrow" w:hAnsi="Arial Narrow" w:cs="Arial"/>
                <w:b/>
                <w:sz w:val="22"/>
                <w:szCs w:val="22"/>
              </w:rPr>
              <w:t>Tak.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15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18)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charakteryzujące się możliwością programowania czułości, programowania wektora wyczuwania (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ring,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coil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), programowania okresu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blankingu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po pobudzeniu </w:t>
            </w:r>
            <w:r w:rsidRPr="005931C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własnym,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wystymulowanym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? Parametry te mogą być wykorzystane do eliminacji zjawiska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. Ponadto urządzenie posiada algorytm dyskryminujący zjawisko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, który w wypadku jego wystąpienia wstrzymuje terapię, nie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wpływając  na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czułość urządzenia i nie niosąc ze sobą potencjalnego ryzyka opóźnienia bądź braku detekcji arytmii, jakie może nastąpić przy innych rozwiązaniach dotyczących unikania T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wave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oversensingu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E0F86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wyraża zgodę.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16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22)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automatycznych pomiarów progów stymulacji,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28369C" w:rsidRPr="005931CB" w:rsidRDefault="0028369C" w:rsidP="0028369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17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24)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posiadające możliwość detekcji w kanale komorowym z programowalną kolejnością stymulacji LV &gt;RV, RV&gt;LV i programowalnym opóźnieniem międzykomorowym w zakresie 0-80ms?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F7FC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0F7FC2">
              <w:rPr>
                <w:rFonts w:ascii="Arial Narrow" w:hAnsi="Arial Narrow" w:cs="Arial"/>
                <w:b/>
                <w:sz w:val="22"/>
                <w:szCs w:val="22"/>
              </w:rPr>
              <w:t xml:space="preserve">ak.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18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zestaw do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zatoki wieńcowej, 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prowadniki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angioplastyczne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średnicy 0.0014", długości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180-190cm, o trzech stopniach elastyczności i kształcie końcówki prowadnika prostej i J kompatybilne z wszystkimi elektrodami lewokomorowymi oferowanymi w pakiecie, oraz cewniki z zintegrowaną zastawką hemostatyczną?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ak.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19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parametry elektrod do stymulacji lewej komory, biegunowość)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lewokomorowe czterobiegunowe i dwubiegunowe z możliwością programowania 16 wektorów- IS4, 4 wektory-IS1, powleczone sterydem na każdym z pierścieni?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20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parametry elektrod do stymulacji lewej komory, konektor)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lewokomorowe o konektorze w standardzie IS1/IS4?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21 (dotyczy zadania 4,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parametry elektrod do stymulacji lewej komory, prowadniki,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stylets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lewokomorowe z dwoma rodzajami prowadników kompatybilnych z elektrodami LV o długościach 75,85cm?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ak.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22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6)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z automatyczną zmianą trybu stymulacji DDD (R) do DDIR w wypadku wykrycia arytmii przedsionkowej?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23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7,8)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bipolarne z możliwością zaprogramowania konfiguracji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uipolarnej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8369C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9A14B3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24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10)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posiadające możliwość detekcji w kanale komorowym z programowalną kolejnością stymulacji LV &gt;RV, RV&gt;LV i programowalnym opóźnieniem międzykomorowym w zakresie 0-80ms?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 xml:space="preserve"> T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25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18)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automatycznych pomiarów progów stymulacji,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26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zestaw do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zatoki wieńcowej, punkt 22)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prowadniki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angioplastyczne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średnicy 0.0014", długości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180-190cm, o trzech stopniach elastyczności i kształcie końcówki prowadnika prostej i J kompatybilne z wszystkimi elektrodami lewokomorowymi oferowanymi w pakiecie, oraz cewniki z zintegrowaną zastawką hemostatyczną?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27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parametry elektrod do stymulacji lewej komory, konektor)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lewokomorowe o konektorze w standardzie IS1/IS4?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ak.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28 (dotyczy zadania 5,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parametry elektrod do stymulacji lewej komory, prowadniki,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stylets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elektrody lewokomorowe z dwoma rodzajami prowadników kompatybilnych z elektrodami LV o długościach 75,85cm?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29 (dotyczy zadania 6,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6)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bipolarne z możliwością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zaprogramowaania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konfiguracji unipolarnej?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4C0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123C2A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30 (dotyczy zadania 6,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9)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automatycznych pomiarów progów stymulacji,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123C2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123C2A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Pytanie 31 (do</w:t>
            </w:r>
            <w:bookmarkStart w:id="0" w:name="_GoBack"/>
            <w:bookmarkEnd w:id="0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tyczy zadania 6,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12)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o żywotności 9,6 lat w warunkach SSIR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SSI 100%, 2V 60 min-1, 0.4ms 500 OHM?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123C2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123C2A">
              <w:rPr>
                <w:rFonts w:ascii="Arial Narrow" w:hAnsi="Arial Narrow" w:cs="Arial"/>
                <w:b/>
                <w:sz w:val="22"/>
                <w:szCs w:val="22"/>
              </w:rPr>
              <w:t xml:space="preserve">godnie z zapisami swz.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32 (dotyczy zadania 7 i 8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6)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o żywotności 10,2 lat w warunkach DDDR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or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DDD 100%, 1.5 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>V and 2.0 V, 60 min-1, 0.4 ms, 500 OHM.?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D1131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33 (dotyczy zadania 7 i 8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9)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bipolarne z możliwością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zaprogramowaania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konfiguracji unipolarnej?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C672B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34 (dotyczy zadania 7 i 8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13)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automatycznych pomiarów progów stymulacji, </w:t>
            </w:r>
            <w:proofErr w:type="spellStart"/>
            <w:r w:rsidRPr="005931CB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C672B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371EDB">
              <w:rPr>
                <w:rFonts w:ascii="Arial Narrow" w:hAnsi="Arial Narrow" w:cs="Arial"/>
                <w:b/>
                <w:sz w:val="22"/>
                <w:szCs w:val="22"/>
              </w:rPr>
              <w:t>ak.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35 (dotyczy zadania 7 i 8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formularza  oceny</w:t>
            </w:r>
            <w:proofErr w:type="gramEnd"/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 jakościowej, punkt 3 )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Czy zamawiający zaakceptuje urządzenie o wadze 27,1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g.</w:t>
            </w:r>
            <w:proofErr w:type="gramEnd"/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72266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C672B">
              <w:rPr>
                <w:rFonts w:ascii="Arial Narrow" w:hAnsi="Arial Narrow" w:cs="Arial"/>
                <w:b/>
                <w:sz w:val="22"/>
                <w:szCs w:val="22"/>
              </w:rPr>
              <w:t>T</w:t>
            </w:r>
            <w:r w:rsidR="00722666">
              <w:rPr>
                <w:rFonts w:ascii="Arial Narrow" w:hAnsi="Arial Narrow" w:cs="Arial"/>
                <w:b/>
                <w:sz w:val="22"/>
                <w:szCs w:val="22"/>
              </w:rPr>
              <w:t xml:space="preserve">ak.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Pytanie 36 (dotyczy projektu umowy) </w:t>
            </w:r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dodanie do projektu umowy zapisów dotyczących zapewnienia warunków przechowywania i transportu, o których mowa w art. 14 ust. 3 Rozporządzenia Parlamentu Europejskiego i Rady (UE) 2017/745 z dnia 5 kwietnia 2017 r. w sprawie wyrobów </w:t>
            </w:r>
            <w:proofErr w:type="gramStart"/>
            <w:r w:rsidRPr="005931CB">
              <w:rPr>
                <w:rFonts w:ascii="Arial Narrow" w:hAnsi="Arial Narrow" w:cs="Arial"/>
                <w:sz w:val="22"/>
                <w:szCs w:val="22"/>
              </w:rPr>
              <w:t>medycznych:</w:t>
            </w:r>
            <w:proofErr w:type="gramEnd"/>
          </w:p>
          <w:p w:rsidR="001B57CE" w:rsidRPr="005931CB" w:rsidRDefault="001B57CE" w:rsidP="00825DC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1CB">
              <w:rPr>
                <w:rFonts w:ascii="Arial Narrow" w:hAnsi="Arial Narrow" w:cs="Arial"/>
                <w:sz w:val="22"/>
                <w:szCs w:val="22"/>
              </w:rPr>
              <w:t>"Zamawiający zapewni, aby wyroby medyczne objęte zakresem przedmiotowej umowy były przechowywane i transportowane wewnętrznie w ramach ośrodka zgodnie z warunkami określonymi przez producenta."</w:t>
            </w:r>
          </w:p>
          <w:p w:rsidR="005931CB" w:rsidRPr="005931CB" w:rsidRDefault="005931CB" w:rsidP="005931C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1C672B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</w:t>
            </w:r>
          </w:p>
          <w:p w:rsidR="001B57CE" w:rsidRPr="005931CB" w:rsidRDefault="001B57CE" w:rsidP="00825DC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5931C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9D157B" w:rsidRPr="00F76DC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F76DC9">
        <w:rPr>
          <w:rFonts w:ascii="Arial Narrow" w:hAnsi="Arial Narrow" w:cs="Arial"/>
          <w:i/>
          <w:sz w:val="24"/>
          <w:szCs w:val="24"/>
        </w:rPr>
        <w:t>Zamawiający</w:t>
      </w:r>
    </w:p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Pr="009D157B" w:rsidRDefault="009D157B" w:rsidP="009D157B"/>
    <w:p w:rsidR="009D157B" w:rsidRDefault="009D157B" w:rsidP="009D157B"/>
    <w:p w:rsidR="009D157B" w:rsidRDefault="009D157B" w:rsidP="009D157B"/>
    <w:p w:rsidR="006D4AB3" w:rsidRDefault="00F76DC9" w:rsidP="009D157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F76DC9" w:rsidRDefault="00F76DC9" w:rsidP="009D157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76DC9" w:rsidRDefault="00F76DC9" w:rsidP="009D157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>); WZPubl. T 2612 B5</w:t>
      </w:r>
    </w:p>
    <w:p w:rsidR="00F76DC9" w:rsidRDefault="00F76DC9" w:rsidP="009D157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76DC9" w:rsidRPr="009D157B" w:rsidRDefault="00F76DC9" w:rsidP="009D157B">
      <w:pPr>
        <w:rPr>
          <w:rFonts w:ascii="Arial Narrow" w:hAnsi="Arial Narrow"/>
        </w:rPr>
      </w:pPr>
      <w:r>
        <w:rPr>
          <w:rFonts w:ascii="Arial Narrow" w:hAnsi="Arial Narrow"/>
        </w:rPr>
        <w:t>Data: 2022-11-09</w:t>
      </w:r>
    </w:p>
    <w:sectPr w:rsidR="00F76DC9" w:rsidRPr="009D157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85B" w:rsidRDefault="00E7285B">
      <w:r>
        <w:separator/>
      </w:r>
    </w:p>
  </w:endnote>
  <w:endnote w:type="continuationSeparator" w:id="0">
    <w:p w:rsidR="00E7285B" w:rsidRDefault="00E7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50E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50EAD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85B" w:rsidRDefault="00E7285B">
      <w:r>
        <w:separator/>
      </w:r>
    </w:p>
  </w:footnote>
  <w:footnote w:type="continuationSeparator" w:id="0">
    <w:p w:rsidR="00E7285B" w:rsidRDefault="00E72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7CE" w:rsidRDefault="001B57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7CE" w:rsidRDefault="001B57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7CE" w:rsidRDefault="001B57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85B"/>
    <w:rsid w:val="00001ADA"/>
    <w:rsid w:val="00031374"/>
    <w:rsid w:val="00064C07"/>
    <w:rsid w:val="000A1097"/>
    <w:rsid w:val="000C65B8"/>
    <w:rsid w:val="000E2A8F"/>
    <w:rsid w:val="000F7FC2"/>
    <w:rsid w:val="00123C2A"/>
    <w:rsid w:val="0012774F"/>
    <w:rsid w:val="00144B7A"/>
    <w:rsid w:val="00180C6E"/>
    <w:rsid w:val="001B57CE"/>
    <w:rsid w:val="001C672B"/>
    <w:rsid w:val="0028326B"/>
    <w:rsid w:val="0028369C"/>
    <w:rsid w:val="0029606A"/>
    <w:rsid w:val="00301BCC"/>
    <w:rsid w:val="00371EDB"/>
    <w:rsid w:val="00384994"/>
    <w:rsid w:val="004848F3"/>
    <w:rsid w:val="004A75F2"/>
    <w:rsid w:val="004D1131"/>
    <w:rsid w:val="005144A9"/>
    <w:rsid w:val="00520165"/>
    <w:rsid w:val="005931CB"/>
    <w:rsid w:val="005A4581"/>
    <w:rsid w:val="005B1B08"/>
    <w:rsid w:val="0061116D"/>
    <w:rsid w:val="00632C3C"/>
    <w:rsid w:val="006336C4"/>
    <w:rsid w:val="006612EA"/>
    <w:rsid w:val="00662BDB"/>
    <w:rsid w:val="006A5DF1"/>
    <w:rsid w:val="006B7198"/>
    <w:rsid w:val="006D4AB3"/>
    <w:rsid w:val="006E0F86"/>
    <w:rsid w:val="006F3B81"/>
    <w:rsid w:val="00722666"/>
    <w:rsid w:val="007D7198"/>
    <w:rsid w:val="00870F9F"/>
    <w:rsid w:val="008804B6"/>
    <w:rsid w:val="00897AB0"/>
    <w:rsid w:val="008A3553"/>
    <w:rsid w:val="009003D1"/>
    <w:rsid w:val="00925DE7"/>
    <w:rsid w:val="00947A50"/>
    <w:rsid w:val="00950EAD"/>
    <w:rsid w:val="009A14B3"/>
    <w:rsid w:val="009D157B"/>
    <w:rsid w:val="00A905AC"/>
    <w:rsid w:val="00B1255C"/>
    <w:rsid w:val="00BA6584"/>
    <w:rsid w:val="00BE7BFD"/>
    <w:rsid w:val="00C175C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285B"/>
    <w:rsid w:val="00EA14B3"/>
    <w:rsid w:val="00EA416E"/>
    <w:rsid w:val="00EB3BA3"/>
    <w:rsid w:val="00F76DC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12E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6</Pages>
  <Words>2039</Words>
  <Characters>13423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30</cp:revision>
  <cp:lastPrinted>2022-11-09T12:31:00Z</cp:lastPrinted>
  <dcterms:created xsi:type="dcterms:W3CDTF">2022-11-08T07:49:00Z</dcterms:created>
  <dcterms:modified xsi:type="dcterms:W3CDTF">2022-11-09T12:31:00Z</dcterms:modified>
</cp:coreProperties>
</file>