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4537F" w:rsidRPr="00B4537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4537F" w:rsidRPr="00B4537F">
        <w:rPr>
          <w:b/>
          <w:sz w:val="22"/>
          <w:szCs w:val="22"/>
        </w:rPr>
        <w:t>NZ/77/D/N/AC/2022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537F" w:rsidRPr="00110593" w:rsidTr="00D759C1">
        <w:tc>
          <w:tcPr>
            <w:tcW w:w="9104" w:type="dxa"/>
            <w:shd w:val="clear" w:color="auto" w:fill="D9D9D9"/>
          </w:tcPr>
          <w:p w:rsidR="00B4537F" w:rsidRPr="00110593" w:rsidRDefault="00B4537F" w:rsidP="00D759C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4537F" w:rsidRPr="00110593" w:rsidRDefault="00B4537F" w:rsidP="00D759C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4537F">
              <w:t>(t.j. Dz. U. z 2022r. poz. 1710)</w:t>
            </w:r>
            <w:r w:rsidRPr="00110593">
              <w:t xml:space="preserve"> (dalej jako: ustawa Pzp), dotyczące:</w:t>
            </w:r>
          </w:p>
          <w:p w:rsidR="00B4537F" w:rsidRPr="0043102D" w:rsidRDefault="00B4537F" w:rsidP="00D759C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4537F" w:rsidRPr="00110593" w:rsidRDefault="00B4537F" w:rsidP="00D759C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4537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4537F">
        <w:rPr>
          <w:b/>
          <w:sz w:val="22"/>
          <w:szCs w:val="22"/>
        </w:rPr>
        <w:t>Dostawy endoprotez oraz śrub kaniulowanych ujęta w dwóch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920" w:rsidRDefault="00704920">
      <w:r>
        <w:separator/>
      </w:r>
    </w:p>
  </w:endnote>
  <w:endnote w:type="continuationSeparator" w:id="0">
    <w:p w:rsidR="00704920" w:rsidRDefault="0070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3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3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920" w:rsidRDefault="00704920">
      <w:r>
        <w:separator/>
      </w:r>
    </w:p>
  </w:footnote>
  <w:footnote w:type="continuationSeparator" w:id="0">
    <w:p w:rsidR="00704920" w:rsidRDefault="0070492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92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4920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37F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923F32-5BCB-4C49-B9C0-29B338BC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F7D1F-B354-409B-8723-8AA9BCE3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2022-11-21T07:55:00Z</dcterms:created>
  <dcterms:modified xsi:type="dcterms:W3CDTF">2022-11-21T07:55:00Z</dcterms:modified>
</cp:coreProperties>
</file>