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4AFA" w:rsidRPr="00644AFA" w:rsidRDefault="00644AFA" w:rsidP="00644A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4AFA">
        <w:rPr>
          <w:rFonts w:ascii="Times New Roman" w:hAnsi="Times New Roman" w:cs="Times New Roman"/>
          <w:sz w:val="24"/>
          <w:szCs w:val="24"/>
        </w:rPr>
        <w:t>Znak sprawy : KA-2/156/2022</w:t>
      </w:r>
    </w:p>
    <w:p w:rsidR="00C23F38" w:rsidRPr="00644AFA" w:rsidRDefault="00644AFA" w:rsidP="00644AFA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  <w:r w:rsidRPr="00644AFA">
        <w:rPr>
          <w:rFonts w:ascii="Times New Roman" w:hAnsi="Times New Roman" w:cs="Times New Roman"/>
          <w:sz w:val="24"/>
          <w:szCs w:val="24"/>
        </w:rPr>
        <w:t>Załącznik nr 1 do SWZ</w:t>
      </w:r>
    </w:p>
    <w:p w:rsidR="00644AFA" w:rsidRPr="00644AFA" w:rsidRDefault="00644AFA" w:rsidP="00644AFA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</w:p>
    <w:p w:rsidR="00644AFA" w:rsidRDefault="00644AFA" w:rsidP="00644A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44AFA" w:rsidRDefault="00644AFA" w:rsidP="00644A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4AFA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644AFA" w:rsidRDefault="00644AFA" w:rsidP="00644AFA">
      <w:pPr>
        <w:spacing w:after="0" w:line="240" w:lineRule="auto"/>
        <w:rPr>
          <w:rFonts w:ascii="Arial" w:eastAsia="Times New Roman" w:hAnsi="Arial" w:cs="Arial"/>
          <w:b/>
          <w:bCs/>
          <w:i/>
          <w:iCs/>
          <w:color w:val="000000"/>
          <w:lang w:eastAsia="ar-SA"/>
        </w:rPr>
      </w:pPr>
    </w:p>
    <w:p w:rsidR="00A16FF4" w:rsidRPr="00A16FF4" w:rsidRDefault="00A16FF4" w:rsidP="00A16FF4">
      <w:pPr>
        <w:keepNext/>
        <w:suppressAutoHyphens/>
        <w:spacing w:after="0" w:line="240" w:lineRule="auto"/>
        <w:ind w:left="397"/>
        <w:jc w:val="both"/>
        <w:outlineLvl w:val="2"/>
        <w:rPr>
          <w:rFonts w:ascii="Arial" w:eastAsia="Times New Roman" w:hAnsi="Arial" w:cs="Arial"/>
          <w:b/>
          <w:bCs/>
          <w:i/>
          <w:iCs/>
          <w:sz w:val="24"/>
          <w:szCs w:val="24"/>
          <w:lang w:eastAsia="ar-SA"/>
        </w:rPr>
      </w:pPr>
      <w:r w:rsidRPr="00A16FF4">
        <w:rPr>
          <w:rFonts w:ascii="Arial" w:eastAsia="Times New Roman" w:hAnsi="Arial" w:cs="Arial"/>
          <w:b/>
          <w:i/>
          <w:iCs/>
          <w:sz w:val="24"/>
          <w:szCs w:val="24"/>
          <w:lang w:eastAsia="ar-SA"/>
        </w:rPr>
        <w:t xml:space="preserve">Dostawa zestawu GC-MS do analizy chromatograficznej (Chromatograf gazowy ze Spektrometrem mas typu </w:t>
      </w:r>
      <w:proofErr w:type="spellStart"/>
      <w:r w:rsidRPr="00A16FF4">
        <w:rPr>
          <w:rFonts w:ascii="Arial" w:eastAsia="Times New Roman" w:hAnsi="Arial" w:cs="Arial"/>
          <w:b/>
          <w:i/>
          <w:iCs/>
          <w:sz w:val="24"/>
          <w:szCs w:val="24"/>
          <w:lang w:eastAsia="ar-SA"/>
        </w:rPr>
        <w:t>Triple</w:t>
      </w:r>
      <w:proofErr w:type="spellEnd"/>
      <w:r w:rsidRPr="00A16FF4">
        <w:rPr>
          <w:rFonts w:ascii="Arial" w:eastAsia="Times New Roman" w:hAnsi="Arial" w:cs="Arial"/>
          <w:b/>
          <w:i/>
          <w:iCs/>
          <w:sz w:val="24"/>
          <w:szCs w:val="24"/>
          <w:lang w:eastAsia="ar-SA"/>
        </w:rPr>
        <w:t xml:space="preserve"> </w:t>
      </w:r>
      <w:proofErr w:type="spellStart"/>
      <w:r w:rsidRPr="00A16FF4">
        <w:rPr>
          <w:rFonts w:ascii="Arial" w:eastAsia="Times New Roman" w:hAnsi="Arial" w:cs="Arial"/>
          <w:b/>
          <w:i/>
          <w:iCs/>
          <w:sz w:val="24"/>
          <w:szCs w:val="24"/>
          <w:lang w:eastAsia="ar-SA"/>
        </w:rPr>
        <w:t>Quadrupole</w:t>
      </w:r>
      <w:proofErr w:type="spellEnd"/>
      <w:r w:rsidRPr="00A16FF4">
        <w:rPr>
          <w:rFonts w:ascii="Arial" w:eastAsia="Times New Roman" w:hAnsi="Arial" w:cs="Arial"/>
          <w:b/>
          <w:i/>
          <w:iCs/>
          <w:sz w:val="24"/>
          <w:szCs w:val="24"/>
          <w:lang w:eastAsia="ar-SA"/>
        </w:rPr>
        <w:t>) – Sprzęt powystawowy</w:t>
      </w:r>
    </w:p>
    <w:p w:rsidR="00644AFA" w:rsidRDefault="00644AFA" w:rsidP="00644A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"/>
        <w:gridCol w:w="8405"/>
      </w:tblGrid>
      <w:tr w:rsidR="0033587A" w:rsidRPr="0033587A" w:rsidTr="0033587A">
        <w:trPr>
          <w:jc w:val="center"/>
        </w:trPr>
        <w:tc>
          <w:tcPr>
            <w:tcW w:w="8926" w:type="dxa"/>
            <w:gridSpan w:val="2"/>
            <w:shd w:val="clear" w:color="auto" w:fill="D9D9D9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b/>
                <w:sz w:val="24"/>
                <w:szCs w:val="24"/>
              </w:rPr>
              <w:t>Specyfikacja</w:t>
            </w:r>
          </w:p>
        </w:tc>
      </w:tr>
      <w:tr w:rsidR="0033587A" w:rsidRPr="0033587A" w:rsidTr="0033587A">
        <w:trPr>
          <w:jc w:val="center"/>
        </w:trPr>
        <w:tc>
          <w:tcPr>
            <w:tcW w:w="521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05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Moduł podstawowy pieca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zakres temperatur: od +3 °C powyżej otoczenia do 450 °C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maksymalna szybkość grzania: 125 °C/min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szybkość chłodzenia: od 450 °C do 50 °C w 4 min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dokładność temperatury: ± 0,1 °C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stabilność temperatury: ± 0,1 °C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- 32 rampy temperaturowe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dotykowy wyświetlacz LCD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- budowa modułowa dozowników i ewentualnych detektorów, umożliwiająca łatwą wymianę lub zamianę dozowników i montaż dodatkowych detektorów wykonywaną przez użytkownika bez konieczności korzystania z usług serwisowych; możliwość instalacji dozowników i detektorów znajdujących się na wyposażeniu laboratorium w zestawie GC-MS/MS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Thermo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 TSQ 8000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Evo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Trace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 1310.</w:t>
            </w:r>
          </w:p>
        </w:tc>
      </w:tr>
      <w:tr w:rsidR="0033587A" w:rsidRPr="0033587A" w:rsidTr="0033587A">
        <w:trPr>
          <w:jc w:val="center"/>
        </w:trPr>
        <w:tc>
          <w:tcPr>
            <w:tcW w:w="521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05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Dozownik Split/</w:t>
            </w:r>
            <w:proofErr w:type="spellStart"/>
            <w:r w:rsidRPr="003358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Splitless</w:t>
            </w:r>
            <w:proofErr w:type="spellEnd"/>
            <w:r w:rsidRPr="003358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w wymiennym module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 stopień podziału 12500:1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- zakres ciśnień: 0-1000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kPa</w:t>
            </w:r>
            <w:proofErr w:type="spellEnd"/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programowanie ciśnienia i przepływu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- przepływ od 0 do 1250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/min z krokiem 1mL/min.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- przepływ obmywający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septę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 od 0 do 50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/min.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- kompatybilny ze wszystkimi rodzajami kolumn kapilarnych od 50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um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 do 530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um</w:t>
            </w:r>
            <w:proofErr w:type="spellEnd"/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opcja obsługi kolumn kapilarnych 1/8'' i 1/16''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maksymalna temperatura pracy 400 °C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automatyczny test szczelności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kompensacja wpływu ciśnienia i temperatury otoczenia</w:t>
            </w:r>
          </w:p>
        </w:tc>
      </w:tr>
      <w:tr w:rsidR="0033587A" w:rsidRPr="0033587A" w:rsidTr="0033587A">
        <w:trPr>
          <w:jc w:val="center"/>
        </w:trPr>
        <w:tc>
          <w:tcPr>
            <w:tcW w:w="521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05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Spektrometr mas typu potrójny kwadrupol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- typ jonizacji: elektronowa (EI) z możliwością rozbudowy do chemicznej jonizacji (CI) pozytywnej i negatywnej 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zakres mas: min. 1,2 – 1100 u  z jednostkową rozdzielczością w całym zakresie mas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szybkość skanowania 20 000 u/s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tryby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pracy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„Full scan”, SIM,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tryb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mieszany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Full scan/SIM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tryby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pracy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MS/MS: „Product Ion Scan”, „Precursor Ion Scan”, „Neutral Loss Scan”, SRM,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tryb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mieszany</w:t>
            </w:r>
            <w:proofErr w:type="spellEnd"/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Stabilność kalibracji mas: 0,1 u/48godz.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- Czułość EI: 300:1 stosunek sygnału do szumu przy dozowaniu 1 µl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oktafluoronaftalenu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 (OFN) o stężeniu 1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fg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/µl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IDL (limit detekcji) przy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nastrzyku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 1fg OFN (m/z 272) nie większy niż 0.4fg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liniowość odpowiedzi detektora: 10</w:t>
            </w:r>
            <w:r w:rsidRPr="003358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7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- temperatura źródła 50 - 350°C 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dodatkowy wstępny kwadrupol usuwający szumy chemiczne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energia jonizacji do 150eV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zakres mas do 1100 Da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szybkość skanowania do 20 000 u/s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temperatura linii transferowej do 400°C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pompa turbomolekularna powyżej 300 l/s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pompa próżni wstępnej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Zestaw komputerowy do akwizycji i obróbki danych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min. Pentium i5, 8GB RAM, 500GB HDD, 27" LCD monitor, Windows 10, drukarka laserowa</w:t>
            </w:r>
          </w:p>
        </w:tc>
      </w:tr>
      <w:tr w:rsidR="0033587A" w:rsidRPr="0033587A" w:rsidTr="0033587A">
        <w:trPr>
          <w:jc w:val="center"/>
        </w:trPr>
        <w:tc>
          <w:tcPr>
            <w:tcW w:w="521" w:type="dxa"/>
            <w:tcBorders>
              <w:bottom w:val="single" w:sz="4" w:space="0" w:color="auto"/>
            </w:tcBorders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405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Dodatkowy </w:t>
            </w:r>
            <w:proofErr w:type="spellStart"/>
            <w:r w:rsidRPr="003358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filament</w:t>
            </w:r>
            <w:proofErr w:type="spellEnd"/>
          </w:p>
        </w:tc>
      </w:tr>
      <w:tr w:rsidR="0033587A" w:rsidRPr="0033587A" w:rsidTr="0033587A">
        <w:trPr>
          <w:jc w:val="center"/>
        </w:trPr>
        <w:tc>
          <w:tcPr>
            <w:tcW w:w="521" w:type="dxa"/>
            <w:tcBorders>
              <w:bottom w:val="single" w:sz="4" w:space="0" w:color="auto"/>
            </w:tcBorders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05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358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Autosampler</w:t>
            </w:r>
            <w:proofErr w:type="spellEnd"/>
            <w:r w:rsidRPr="003358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próbek ciekłych 2ml, 162 pozycje 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- Automatyczny podajnik z obsługą dozowników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split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splitless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, PTV, typu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Large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 Volume, do kolumn pakowanych i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oncolumn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programowalna głębokość wprowadzania igły, szybkość dozowania, eliminacja bąbelków, tworzenie korka powietrznego, dozowanie z gorącą igłą, automatyczne justowanie podajnika i igły, 4 naczyńka z rozpuszczalnikami do płukania.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możliwość obsługi dowolnej ilość dozowników i do dwóch chromatografów. Jednoczesna możliwość dozowania ręcznego.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kosz na 162 pozycji próbek (2 ml)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- strzykawka 10 µl z igłą 50 mm do dozowania z automatycznym rozpoznawaniem strzykawki - 2szt.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- szybkość napełniania strzykawki: 0.1 do 100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μl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 /s</w:t>
            </w:r>
          </w:p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- objętość dozowania: 0.1-250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μl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 co 0.1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μl</w:t>
            </w:r>
            <w:proofErr w:type="spellEnd"/>
          </w:p>
        </w:tc>
      </w:tr>
      <w:tr w:rsidR="0033587A" w:rsidRPr="0033587A" w:rsidTr="0033587A">
        <w:trPr>
          <w:trHeight w:hRule="exact" w:val="340"/>
          <w:jc w:val="center"/>
        </w:trPr>
        <w:tc>
          <w:tcPr>
            <w:tcW w:w="8926" w:type="dxa"/>
            <w:gridSpan w:val="2"/>
            <w:shd w:val="clear" w:color="auto" w:fill="D9D9D9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b/>
                <w:sz w:val="24"/>
                <w:szCs w:val="24"/>
              </w:rPr>
              <w:t>Warunki dodatkowe</w:t>
            </w:r>
          </w:p>
        </w:tc>
      </w:tr>
      <w:tr w:rsidR="0033587A" w:rsidRPr="0033587A" w:rsidTr="0033587A">
        <w:trPr>
          <w:jc w:val="center"/>
        </w:trPr>
        <w:tc>
          <w:tcPr>
            <w:tcW w:w="521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05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Sprzęt musi być w pełni kompatybilny z system chromatograficznym ze spektrometrem mas TSQ 8000 EVO produkcji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Thermo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Scientific</w:t>
            </w:r>
            <w:proofErr w:type="spellEnd"/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, który pracuje w Laboratorium od 2016 roku.</w:t>
            </w:r>
          </w:p>
        </w:tc>
      </w:tr>
      <w:tr w:rsidR="0033587A" w:rsidRPr="0033587A" w:rsidTr="0033587A">
        <w:trPr>
          <w:jc w:val="center"/>
        </w:trPr>
        <w:tc>
          <w:tcPr>
            <w:tcW w:w="521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05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 xml:space="preserve">Dostarczenie urządzenia na miejsce do laboratorium użytkownika </w:t>
            </w:r>
          </w:p>
        </w:tc>
      </w:tr>
      <w:tr w:rsidR="0033587A" w:rsidRPr="0033587A" w:rsidTr="0033587A">
        <w:trPr>
          <w:jc w:val="center"/>
        </w:trPr>
        <w:tc>
          <w:tcPr>
            <w:tcW w:w="521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05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Dostawca dostarczy instrukcję obsługi w języku angielskim i polskim</w:t>
            </w:r>
          </w:p>
        </w:tc>
      </w:tr>
      <w:tr w:rsidR="0033587A" w:rsidRPr="0033587A" w:rsidTr="0033587A">
        <w:trPr>
          <w:jc w:val="center"/>
        </w:trPr>
        <w:tc>
          <w:tcPr>
            <w:tcW w:w="521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05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Dostawca przeprowadzi szkolenie pracowników na stanowisku pracy z zakresu obsługi urządzenia</w:t>
            </w:r>
          </w:p>
        </w:tc>
      </w:tr>
      <w:tr w:rsidR="0033587A" w:rsidRPr="0033587A" w:rsidTr="0033587A">
        <w:trPr>
          <w:trHeight w:val="289"/>
          <w:jc w:val="center"/>
        </w:trPr>
        <w:tc>
          <w:tcPr>
            <w:tcW w:w="521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05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Po zainstalowaniu nastąpi podpisanie protokołu zdawczo-odbiorczego</w:t>
            </w:r>
          </w:p>
        </w:tc>
      </w:tr>
      <w:tr w:rsidR="0033587A" w:rsidRPr="0033587A" w:rsidTr="0033587A">
        <w:trPr>
          <w:trHeight w:val="289"/>
          <w:jc w:val="center"/>
        </w:trPr>
        <w:tc>
          <w:tcPr>
            <w:tcW w:w="521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05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Zakup sprzętu powystawowego, używanego nie więcej niż jeden kwartał</w:t>
            </w:r>
          </w:p>
        </w:tc>
      </w:tr>
      <w:tr w:rsidR="0033587A" w:rsidRPr="0033587A" w:rsidTr="0033587A">
        <w:trPr>
          <w:jc w:val="center"/>
        </w:trPr>
        <w:tc>
          <w:tcPr>
            <w:tcW w:w="8926" w:type="dxa"/>
            <w:gridSpan w:val="2"/>
            <w:shd w:val="clear" w:color="auto" w:fill="D9D9D9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b/>
                <w:sz w:val="24"/>
                <w:szCs w:val="24"/>
              </w:rPr>
              <w:t>Warunki gwarancji i utrzymania aparatu</w:t>
            </w:r>
          </w:p>
        </w:tc>
      </w:tr>
      <w:tr w:rsidR="0033587A" w:rsidRPr="0033587A" w:rsidTr="0033587A">
        <w:trPr>
          <w:jc w:val="center"/>
        </w:trPr>
        <w:tc>
          <w:tcPr>
            <w:tcW w:w="521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05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Dostawca udzieli 12 miesięcznej gwarancji na dostarczony sprzęt</w:t>
            </w:r>
          </w:p>
        </w:tc>
        <w:bookmarkStart w:id="0" w:name="_GoBack"/>
        <w:bookmarkEnd w:id="0"/>
      </w:tr>
      <w:tr w:rsidR="0033587A" w:rsidRPr="0033587A" w:rsidTr="0033587A">
        <w:trPr>
          <w:jc w:val="center"/>
        </w:trPr>
        <w:tc>
          <w:tcPr>
            <w:tcW w:w="521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05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Dostawca zapewni serwis gwarancyjny i pogwarancyjny</w:t>
            </w:r>
          </w:p>
        </w:tc>
      </w:tr>
      <w:tr w:rsidR="0033587A" w:rsidRPr="0033587A" w:rsidTr="0033587A">
        <w:trPr>
          <w:jc w:val="center"/>
        </w:trPr>
        <w:tc>
          <w:tcPr>
            <w:tcW w:w="521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05" w:type="dxa"/>
            <w:vAlign w:val="center"/>
          </w:tcPr>
          <w:p w:rsidR="0033587A" w:rsidRPr="0033587A" w:rsidRDefault="0033587A" w:rsidP="0033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87A">
              <w:rPr>
                <w:rFonts w:ascii="Times New Roman" w:hAnsi="Times New Roman" w:cs="Times New Roman"/>
                <w:sz w:val="24"/>
                <w:szCs w:val="24"/>
              </w:rPr>
              <w:t>Dostawca zapewni przeglądy serwisowe (przegląd na koniec okresu gwarancyjnego – bezpłatny)</w:t>
            </w:r>
          </w:p>
        </w:tc>
      </w:tr>
    </w:tbl>
    <w:p w:rsidR="00644AFA" w:rsidRPr="00644AFA" w:rsidRDefault="00644AFA" w:rsidP="00644A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44AFA" w:rsidRPr="00644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AFA"/>
    <w:rsid w:val="00240976"/>
    <w:rsid w:val="0033587A"/>
    <w:rsid w:val="00387039"/>
    <w:rsid w:val="00644AFA"/>
    <w:rsid w:val="00A16FF4"/>
    <w:rsid w:val="00C23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CDC6E1-0DCA-44F4-B1FD-B3290BA28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84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585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5</cp:revision>
  <cp:lastPrinted>2022-12-22T10:31:00Z</cp:lastPrinted>
  <dcterms:created xsi:type="dcterms:W3CDTF">2022-12-15T07:15:00Z</dcterms:created>
  <dcterms:modified xsi:type="dcterms:W3CDTF">2022-12-22T10:33:00Z</dcterms:modified>
</cp:coreProperties>
</file>