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CB93E38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B4635E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05DD8A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A5CAD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A5CA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3956F5AD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66A20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072C936B" w14:textId="77777777" w:rsidR="00EA5CAD" w:rsidRDefault="00EA5CAD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A5CAD">
        <w:rPr>
          <w:rFonts w:ascii="Times New Roman" w:hAnsi="Times New Roman"/>
          <w:b/>
          <w:sz w:val="28"/>
          <w:szCs w:val="28"/>
        </w:rPr>
        <w:t>Usługi listowne i kurierskie, w tym transport materiału biologicznego potencjalnie zakaźnego</w:t>
      </w:r>
    </w:p>
    <w:p w14:paraId="70D914EA" w14:textId="77777777" w:rsidR="00EA5CAD" w:rsidRDefault="00EA5CAD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A4B5351" w14:textId="54202931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B4635E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EA5CAD"/>
    <w:rsid w:val="00F275BE"/>
    <w:rsid w:val="00F334B4"/>
    <w:rsid w:val="00F66A20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8</cp:revision>
  <dcterms:created xsi:type="dcterms:W3CDTF">2022-04-27T10:19:00Z</dcterms:created>
  <dcterms:modified xsi:type="dcterms:W3CDTF">2023-02-02T12:55:00Z</dcterms:modified>
</cp:coreProperties>
</file>