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E5763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57637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E57637">
        <w:rPr>
          <w:rFonts w:ascii="Arial" w:hAnsi="Arial" w:cs="Arial"/>
          <w:sz w:val="24"/>
          <w:szCs w:val="24"/>
        </w:rPr>
        <w:t>2023-04-14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E57637" w:rsidP="006A5DF1">
      <w:pPr>
        <w:rPr>
          <w:rFonts w:ascii="Arial" w:hAnsi="Arial" w:cs="Arial"/>
          <w:b/>
          <w:bCs/>
          <w:sz w:val="24"/>
          <w:szCs w:val="24"/>
        </w:rPr>
      </w:pPr>
      <w:r w:rsidRPr="00E57637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E57637" w:rsidP="006A5DF1">
      <w:pPr>
        <w:rPr>
          <w:rFonts w:ascii="Arial" w:hAnsi="Arial" w:cs="Arial"/>
          <w:sz w:val="24"/>
          <w:szCs w:val="24"/>
        </w:rPr>
      </w:pPr>
      <w:r w:rsidRPr="00E57637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57637">
        <w:rPr>
          <w:rFonts w:ascii="Arial" w:hAnsi="Arial" w:cs="Arial"/>
          <w:sz w:val="24"/>
          <w:szCs w:val="24"/>
        </w:rPr>
        <w:t>5</w:t>
      </w:r>
    </w:p>
    <w:p w:rsidR="006A5DF1" w:rsidRPr="009003D1" w:rsidRDefault="00E57637" w:rsidP="006A5DF1">
      <w:pPr>
        <w:rPr>
          <w:rFonts w:ascii="Arial" w:hAnsi="Arial" w:cs="Arial"/>
          <w:sz w:val="24"/>
          <w:szCs w:val="24"/>
        </w:rPr>
      </w:pPr>
      <w:r w:rsidRPr="00E57637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57637">
        <w:rPr>
          <w:rFonts w:ascii="Arial" w:hAnsi="Arial" w:cs="Arial"/>
          <w:sz w:val="24"/>
          <w:szCs w:val="24"/>
        </w:rPr>
        <w:t>Bydgoszcz</w:t>
      </w:r>
    </w:p>
    <w:p w:rsidR="006A5DF1" w:rsidRPr="00A2366F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A2366F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A2366F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A2366F">
        <w:rPr>
          <w:rFonts w:ascii="Arial" w:hAnsi="Arial" w:cs="Arial"/>
          <w:bCs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A2366F" w:rsidRDefault="00A2366F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A2366F">
        <w:rPr>
          <w:rFonts w:ascii="Arial" w:hAnsi="Arial" w:cs="Arial"/>
          <w:b/>
          <w:sz w:val="24"/>
          <w:szCs w:val="24"/>
        </w:rPr>
        <w:t xml:space="preserve">Pismo nr </w:t>
      </w:r>
      <w:r>
        <w:rPr>
          <w:rFonts w:ascii="Arial" w:hAnsi="Arial" w:cs="Arial"/>
          <w:b/>
          <w:sz w:val="24"/>
          <w:szCs w:val="24"/>
        </w:rPr>
        <w:t>290</w:t>
      </w:r>
      <w:r w:rsidR="001529C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/23</w:t>
      </w:r>
      <w:r w:rsidR="006A5DF1" w:rsidRPr="00A2366F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A236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8"/>
          <w:szCs w:val="24"/>
        </w:rPr>
      </w:pPr>
      <w:r w:rsidRPr="00A2366F">
        <w:rPr>
          <w:rFonts w:ascii="Arial" w:hAnsi="Arial" w:cs="Arial"/>
          <w:b/>
          <w:sz w:val="28"/>
          <w:szCs w:val="24"/>
        </w:rPr>
        <w:t>WYKONAWCY</w:t>
      </w:r>
    </w:p>
    <w:p w:rsidR="006A5DF1" w:rsidRPr="00A236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8"/>
          <w:szCs w:val="24"/>
        </w:rPr>
      </w:pPr>
      <w:proofErr w:type="gramStart"/>
      <w:r w:rsidRPr="00A2366F">
        <w:rPr>
          <w:rFonts w:ascii="Arial" w:hAnsi="Arial" w:cs="Arial"/>
          <w:sz w:val="28"/>
          <w:szCs w:val="24"/>
        </w:rPr>
        <w:t>ubiegający</w:t>
      </w:r>
      <w:proofErr w:type="gramEnd"/>
      <w:r w:rsidRPr="00A2366F">
        <w:rPr>
          <w:rFonts w:ascii="Arial" w:hAnsi="Arial" w:cs="Arial"/>
          <w:sz w:val="28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E57637" w:rsidRPr="00E57637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E57637" w:rsidRPr="00E57637">
        <w:rPr>
          <w:rFonts w:ascii="Arial" w:hAnsi="Arial" w:cs="Arial"/>
          <w:b/>
          <w:bCs/>
          <w:sz w:val="24"/>
          <w:szCs w:val="24"/>
        </w:rPr>
        <w:t>Dostawy sukcesywne implantów neurochirurgicznych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57637" w:rsidRPr="00E57637">
        <w:rPr>
          <w:rFonts w:ascii="Arial" w:hAnsi="Arial" w:cs="Arial"/>
          <w:b/>
          <w:sz w:val="24"/>
          <w:szCs w:val="24"/>
        </w:rPr>
        <w:t>30/2023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57637" w:rsidRPr="00E57637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57637" w:rsidRPr="00E57637">
        <w:rPr>
          <w:rFonts w:ascii="Arial" w:hAnsi="Arial" w:cs="Arial"/>
          <w:sz w:val="24"/>
          <w:szCs w:val="24"/>
        </w:rPr>
        <w:t>(</w:t>
      </w:r>
      <w:proofErr w:type="spellStart"/>
      <w:r w:rsidR="00E57637" w:rsidRPr="00E57637">
        <w:rPr>
          <w:rFonts w:ascii="Arial" w:hAnsi="Arial" w:cs="Arial"/>
          <w:sz w:val="24"/>
          <w:szCs w:val="24"/>
        </w:rPr>
        <w:t>t.j</w:t>
      </w:r>
      <w:proofErr w:type="spellEnd"/>
      <w:r w:rsidR="00E57637" w:rsidRPr="00E57637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E57637" w:rsidRPr="00E57637">
        <w:rPr>
          <w:rFonts w:ascii="Arial" w:hAnsi="Arial" w:cs="Arial"/>
          <w:sz w:val="24"/>
          <w:szCs w:val="24"/>
        </w:rPr>
        <w:t>z</w:t>
      </w:r>
      <w:proofErr w:type="gramEnd"/>
      <w:r w:rsidR="00E57637" w:rsidRPr="00E57637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1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Czy w Zadaniu nr 1 Klatka szyjna instalowana z dostępu przedniego, wykonana z PEEK (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Polieteroe-teroketon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)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dopuszcza: 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wsuwane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klatki szyjne z PEEK w rozmiarze (szerokość, głębokość) 15/13 wysokość od 4 do 10mm. Dostępne z prostymi płaszczyznami, jednostronnie wypukłe, obustronnie wypukłe,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pła-skie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jednostronnie wypukłe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- stopień skosu 7°. Klatka posiadająca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kie-runkowe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karbowane płaszczyzny górne stykające się z trzonami, zabezpieczające przed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przesu-waniem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 dyslokacją po umieszczeniu w przestrzeni międzytrzonowej. Implant wyposażony w 4 specjalne "kolce" tytanowe umieszczone na górnej i dolnej powierzchni, pełniące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jednocze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-śnie rolę znaczników/markerów radiologicznych odpowiednio rozmieszczone na płaszczyznach karbowanych, zapewniające dodatkowe zakotwiczenie w blaszkach granicznych trzonów,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zwięk-szające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pewność mocowania. Implanty dostarczane w wersji sterylnej. Pakowany osobno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ste-rylny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substytut kości w postaci litego bloczka-walca. Syntetyczny, ceramiczny i resorbowalny materiał do wypełniania ubytków kostnych z czysto fazowego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betatrójfosforanu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wapnia. Mate-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riał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ceramiczny o podwyższonej porowatości, zapewniający optymalne dostosowanie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resorbcji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do procesu regeneracji kości. Bloczek średnicy 8,5mm w zakresie od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 xml:space="preserve">3 do 6 mm ze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skokiem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1 mm. Zestaw narzędzi zawierający komplet przymiarów dla ułatwienia doboru rozmiaru im-plantu,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wprowadzacz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implantu oraz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dystraktor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szyjny Caspara z grotami dwóch rozmiarach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dłu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-gości. Kompaktowy zestaw palet do przechowywania i sterylizacji narzędzi?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PYTANIE 2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2. Czy w Zadaniu nr 2 Stabilizacja odcinka szyjnego - tytanowa klatka międzykręgowa 3D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dopuszcza: 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Wsuwaną międzytrzonową klatkę szyjną dostosowaną do poziomu C3-C7, implantowaną z dostępu przedniego. Implanty wykonane ze stopu tytanu (proszku tytanu) technologią 3D. Biomateriał, technologia wykonania i kratownicowa konstrukcja implantu stwarzające warunki do fuzji bez konieczności stosowania dodatkowych materiałów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kościozastępczych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Klatka szyjna wykonana w 4 od-mianach kształtowych: z prostymi płaszczyznami, jednostronnie wypukłymi oraz płaskimi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lordotycznymi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jednostronnie wypukłymi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lordotycznymi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Stopień skosu 0 i 7 stopni. Szerokość, głębokość 15/13 mm, dostępne w 7 wysokościach od 4 do 10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mm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1 mm dla każdej z odmian kształtowych. Posiadająca porowate ("wulkaniczne") powierzchnie od strony blaszek granicznych wspierające adhezję, różnicowanie i proliferację komórek oraz stwarzające warunki do przyspieszonego rozwoju (przerostu/obrostu) nowej tkanki kostnej. Podwójny system kotwiczenia/blokowania pozycji w przestrzeni międzytrzonowej poprzez porowate powierzchnie styku z blaszkami trzonów oraz obustronnie sytuowane płozy z ząbka-mi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przeciwcofnymi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zapobiegającymi pooperacyjnej migracji. Implant dostarczane w wersji sterylnej. Zestaw narzędzi zawierający komplet przymiarów dla ułatwienia doboru rozmiaru implantu,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wprowa-dzacz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implantu oraz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dystraktor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szyjny Caspara z grotami dwóch rozmiarach długości. Kompaktowy ze-staw palet do przechowywania i sterylizacji narzędzi?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3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3. Czy w Zadaniu nr 3 Implanty do kręgosłupa z dostępu przedniego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dopuszcza: 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wsuwane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klatki szyjne z PEEK w rozmiarze (szerokość, głębokość) 15/13 wysokość od 4 do 10mm. Dyski dostępne z prostymi płaszczyznami, jednostronnie wypukłe, obustronnie wypukłe, płaskie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jednostronnie wypukłe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- stopień skosu 7°. Klatka posiadająca kierunkowe, karbowane płaszczyzny górne stykające się z trzonami, zabezpieczające przed przesuwaniem i dyslokacją po umieszczeniu w przestrzeni międzytrzonowej. Implant wyposażony w 4 specjalne "kolce" tytanowe, umieszczone na górnej i dolnej powierzchni, pełniące jednocześnie rolę znaczników/markerów radiolo-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gicznych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odpowiednio rozmieszczone na płaszczyznach karbowanych, zapewniające dodatkowe zakotwiczenie w blaszkach granicznych trzonów, zwiększające pewność mocowania. Duży, odpowiednio ukształtowany otwór wewnątrz protezy oraz dodatkowe otwory w płaszczyznach bocznych pozwalają na łatwe wypełnienie przeszczepami kostnymi lub syntetycznym substytutem kości. Implanty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dostar-czane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w wersji sterylnej?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4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4. Czy w Zadaniu nr 4 Klatka międzytrzonowa szyjna tytanowa - drukowana 3D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dopuszcza: 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Wsuwaną międzytrzonową klatkę szyjną dostosowaną do poziomu C3-C7, implantowaną z dostępu przedniego. Implanty wykonane ze stopu tytanu (proszku tytanu) technologią 3D. Biomateriał, technologia wykonania i kratownicowa konstrukcja implantu stwarzające warunki do fuzji bez konieczności stosowania dodatkowych materiałów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kościozastępczych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Klatka szyjna wykonana w 4 od-mianach kształtowych: z prostymi płaszczyznami, jednostronnie wypukłymi oraz płaskimi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lordotycznymi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jednostronnie wypukłymi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lordotycznymi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Stopień skosu 0 i 7 stopni. Szerokość, głębokość 15/13 mm, dostępne w 7 wysokościach od 4 do 10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mm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1 mm dla każdej z odmian kształtowych. Posiadająca porowate ("wulkaniczne") powierzchnie od strony blaszek granicznych wspierające adhezję, różnicowanie i proliferację komórek oraz stwarzające warunki do przyspieszonego rozwoju (przerostu/obrostu) nowej tkanki kostnej. Podwójny system kotwiczenia/blokowania pozycji w przestrzeni międzytrzonowej poprzez porowate powierzchnie styku z blaszkami trzonów oraz obustronnie sytuowane płozy z ząbka-mi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przeciwcofnymi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zapobiegającymi pooperacyjnej migracji. Implant dostarczane w wersji sterylnej. Zestaw narzędzi zawierający komplet przymiarów dla ułatwienia doboru rozmiaru implantu,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wprowadzacz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implantu oraz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dystraktor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szyjny Caspara z grotami dwóch rozmiarach długości. Kompaktowy ze-staw palet do przechowywania i sterylizacji narzędzi?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Czy w Zadaniu nr 6 Stabilizacja w odcinku szyjnym - płytka szyjna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dopuszcza: 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o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niskoprofilowe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płytki dostępne w pełnej gamie wymiarowej w zakresie od 20 do 80 mm, ze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stopniowaniem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2,5mm i od 85 mm do 115 mm co 5mm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wkręty kostne samogwintujące 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samonawiercające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jedno- i dwu-korówkowe (w tym również śruby rewizyjne) o trzech średnicach 3.5mm 4.0mm 4.5mm i o długościach w zakresie od 12 do 18mm,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stopniowane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2mm, wprowadzane prostopadle oraz pod wieloma kątami (dając układ rozbieżny względem siebie zapewniając najwyższą siłę utwierdzenia w kości),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system posiada możliwość wprowadzenia śruby centralnie w osi płytki,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grubość płytki 1,8 (z blokadą 2,3mm), szerokość płytki 19mm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proste jednoczesne blokowanie 2 śrub jednym elementem, blokowanie śrub do płytki (w pełni odwracalne) następuje poprzez obrót specjalnego "śmigła" o 90 stopni,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płytki dogięte dopasowane do naturalnej lordozy szyjnej (bez konieczności doginania)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prosta blokada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wkręta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pozwalająca na łatwe rewizyjne usunięcie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zestaw instrumentarium zawierający niezbędne narzędzia łącznie z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doginarką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płytek umieszczoną w kontenerze przeznaczonym do przechowywania i sterylizacji?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6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6. Czy w Zadaniu nr 7 Proteza trzonu do stabilizacji w odcinku szyjnym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dopuszcza: 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Implanty dopasowane anatomicznie do kształtu kręgu wykonane z proszku stopu tytanu technologią 3D. Wsporniki o wymiarach: szerokość 14mm, głębokość 13mm, wysokość od 16 do 50mm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stopniowana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2mm. Konstrukcja protezy złożona z elementów nośnych dostosowanych do bezpiecznego prze-noszenia obciążeń oraz wyposażona w przestrzenne kratownicowe struktury od strony blaszek granicznych trzonów oraz od strony przednio-bocznej do stwarzania warunków sprzyjających rozwojowi nowej tkanki kostnej. Implant wyposażony w ząbkowane, porowate ("wulkaniczne") powierzchnie od strony blaszek granicznych do blokowania pozycji w przestrzeni międzytrzonowej i zapobiegania pooperacyjnej migracji. Proteza dopasowana do fizjologicznej lordozy szyjnej, przednia ściana wyposażona w otwór do współpracy z narzędziem instalacyjnym i jednocześnie do połączenia z profilowaną płytką szyjną. Zestaw narzędzi zawierający komplet przymiarów dla ułatwienia doboru rozmiaru implantu,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wprowadzacz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implantu oraz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dystraktor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szyjny Caspara z grotami dwóch rozmiarach długości. Kompaktowy zestaw palet do przechowywania i sterylizacji narzędzi?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7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Czy w Zadaniu nr 46 Czop lędźwiowy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Plif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- biomateriał stop tytanu Zamawiający dopuszcza implant sterylny z okresem ważności 3 lata?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dopuszcza w/w rozwiązanie.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8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8. Dotyczy kryterium oceny ofert Okres płatności: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 celu równego traktowania wszystkich oferentów wnosimy o określenie przez Zamawiającego minimalnego oraz maksymalnego terminu płatności w celu prawidłowego wyliczenia tego kryterium.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Zamawiający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dookreśla  zakres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kryterium : Okres płatności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Minimalny termin płatności 30 dni, maksymalny 60 dni.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9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9. Dotyczy kryterium oceny ofert Termin dostaw: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W celu równego traktowania wszystkich oferentów wnosimy o </w:t>
      </w:r>
      <w:r w:rsidR="001529C1">
        <w:rPr>
          <w:rFonts w:ascii="Arial Narrow" w:hAnsi="Arial Narrow" w:cs="Arial"/>
          <w:bCs/>
          <w:sz w:val="24"/>
          <w:szCs w:val="24"/>
          <w:lang w:eastAsia="ar-SA"/>
        </w:rPr>
        <w:t>określenie minimalnego oraz mak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symalnego terminu dostaw. Ekspresowe zrealizowanie dostawy przez firmy kurierskie, z każdego miejsca w Polsce, to 1 dzień roboczy (około 24 godzin). Każdy krótszy termin dostawy byłby mało realny do spełnienia.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lastRenderedPageBreak/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dookreśla zakres kryterium : Termin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dostaw  [ dni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]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Minimalny termin dostaw 1 dzień, maksymalny 5 dni.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10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Zadanie nr 11 - "Tytanowy system do stabilizacji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przeznasadowej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przezskórnej kręgosłupa w odcinku piersiowo- lędźwiowym."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Prosimy Zamawiającego o zmianę ilości zamawianych implantów, na taką, która w większym stopniu odzwierciedli zużycia systemu tj.: 4 śruby przezskórne, 4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blokery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2pręty, 4 druty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kirschnera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, 1 opakowanie igieł naprowadzających (6szt)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modyfikuje opis zadania 11 w zakresie ilości systemu składające się na 1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kpl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na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: 4 śruby przezskórne, 4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blokery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2pręty, 4 druty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kirschnera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, 1 opakowanie igieł naprowadzających (6szt).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11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Zadanie 29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1. Czy w celu zwiększenia konkurencyjności ofert przetargowych Zamawiający dopuści zestaw do drenażu lędźwiowego wyposażony w dren lędźwiowy z linią pacjenta o długości całkowitej 240 cm i dopuści tolerancję w średnicy drenu ± 0,5 mm?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12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Zadanie 32 1. Czy w celu zwiększenia konkurencyjności ofert przetargowych Zamawiający dopuści system zastawkowy z podwójnym mechanizmem kulkowym odpowiednie do </w:t>
      </w:r>
      <w:proofErr w:type="spellStart"/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pł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. m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.-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rdz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wysokiej zawartości białka?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13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zadania 28 Czy Zamawiający w zadaniu nr 28 - zestaw do drenażu komorowego dopuści dren komorowy ze znacznikami o długości 35 cm, średnicy zewn./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wewn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. 3.5 / 2.1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mm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z łącznikiem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luer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, perforacja 4 rzędy po 4 okrągłe otwory. Pozostałe parametry zestawu bez zmian.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Zamawiający dopuszcza w/w rozwiązanie</w:t>
      </w:r>
      <w:r w:rsidR="001529C1">
        <w:rPr>
          <w:rFonts w:ascii="Arial Narrow" w:hAnsi="Arial Narrow" w:cs="Arial"/>
          <w:bCs/>
          <w:sz w:val="24"/>
          <w:szCs w:val="24"/>
          <w:lang w:eastAsia="ar-SA"/>
        </w:rPr>
        <w:t>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Zapytania 14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Zadanie 48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Prosimy o podanie ilości płyt i śrub do zespoleń czaszkowych składających się na zestaw? Jest to niezbędna informacja do prawidłowego wyliczenia wartości zastawu, umożliwi porównanie ofert, a następnie pozwoli prawidłowo rozliczyć umowę.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2. Czy Zamawiający dopuści kontenery wyposażone w jednorazowe filtry papierowe, bezpłatnie dostarczonymi na czas trwania umowy, zamiast kontenerów bezobsługowych? Kontenery z górnym filtrem są stosowane praktycznie we wszystkich szpitalach w Polsce i spełniają wszystkie normy walidowanych procesów sterylizacji.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3. Czy Zamawiający dopuści możliwość dostarczenia śrub w magazynkach na 5 sztuk zamiast 6 sztuk?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Ad. 1  </w:t>
      </w:r>
      <w:proofErr w:type="spellStart"/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Ilosci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  płyt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srub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do 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zespolen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czaszkowych  :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                  ZADANIE nr 48 - Płytki do zamknięcia czaszki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Zestaw płytek i śrub do zamknięcia czaszki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kpl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2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prosta, wymiary 15,4 x 3,4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szt.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1.2.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5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typu Y, wymiary 20,6 x 11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1.3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20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prosta, wymiary 88,9 x 3,4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1.4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6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typu podwójny Y, wymiary 18 x 11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1.5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6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typu podwójny Y, wymiary 21 x 11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1.6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6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na otwór trepanacyjny, średnica 18,4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1.7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6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na otwór trepanacyjny, średnica 21,4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1.8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Płytka 6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ostworowa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na otwór trepanacyjny, średnica 23,4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1.9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Płytka - siatka 3D, grubość 0,6 mm o wymiarach 50 x 50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2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1.10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Płytka - siatka 3D, grubość 0,6 mm o wymiarach 100 x 100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2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1.11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Płytka - siatka, 6 otworów, grubość 0,4 mm o wymiarach 38,8 x 15,3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10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1.12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Śrubokręt elektryczny jednorazowego użytku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10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1.13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Sterylny zestaw płytek i śrubek, w skład zestawu wchodzi 6 śrubek 1,5 x 4 mm, 3 płytki długość 15,4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40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1.14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Sterylny zestaw płytek i śrubek, w skład zestawu wchodzi 10 śrubek 1,5 x 4 mm, 2 płytki długość 15,4 mm, płytka na otwór trepanacyjny średnica 23,4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40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1.15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Magazynek 100 śrub samogwintujących, standardowych, wkrętak krzyżakowy,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dł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4 mm, średnica 1,5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1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1.16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Magazynek 6 śrub samogwintujących, standardowych, wkrętak krzyżakowy,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dł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5 mm, średnica 1,5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1.17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Magazynek 6 śrub samogwintujących, "awaryjnych", wkrętak krzyżakowy,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dł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3 mm, średnica 1,8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1.18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 xml:space="preserve">Magazynek 6 śrub samogwintujących, "awaryjnych", wkrętak krzyżakowy,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dł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5 mm, średnica 1,8 mm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ab/>
        <w:t>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Ad. 2  Zamawiający nie dopuszcza kontenerów wyposażone w jednorazowe filtry papierowe.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Ad. 3  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15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Zapytania do w/w postępowania, dot. projektu umowy: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 xml:space="preserve">1. Czy Zamawiający wyrazi zgodę na usunięcie zapisu w §2 ust. 6 i </w:t>
      </w:r>
      <w:proofErr w:type="spellStart"/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zd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. 2 w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ust. 12 oraz §2 ust. 5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zd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2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i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§8 ust. 2 umowy przechowania dot. bezpłatnego przejścia własności towaru oddanego w depozyt?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Powyższe zapisy nie mogą być za uznane za zgodne i prawnie skuteczne z art. 888 k.c..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 pierwszej kolejności należy zaznaczyć, iż Zamawiający w przypadku określonym w §2 ust. 13 może żądać jedynie zapłaty za przechowywanie towaru. W przypadku opisanym w umowie bezwzględnie dojdzie</w:t>
      </w: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 nadużycia prawa ze strony Zamawiającego oraz może dojść do bezpodstawnego wzbogacenia. Ponadto należy uwzględnić takie przypadki, iż może dojść do pomyłki w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dostawie co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nie jest równoznaczne z dokonaniem darowizny na rzecz Zamawiającego.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jest zakładem opieki zdrowotnej, gdzie może wystąpić zagrożenie życia pacjenta w przypadku niedostarczenia zamówionego przedmiotu. Zmawiający może w każdej chwili składać zamówienia u Wykonawcy zarówno na podstawie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umowy jaki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i zamówień.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Taka konstrukcja prawna nie można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traktowana jako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darowizna z art. 888 k.c., tylko należy ją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traktować jako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możliwość bezpodstawnego wzbogacenia.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Biorąc pod uwagę powyższe należy bezwzględnie usunąć powyższe zapisy.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2. Czy Zamawiający dookreśli w §2 ust. 9, iż seria lub data ważności mogą zostać wskazane na dokumencie WZ dostarczanym z towarem zamiast na fakturze VAT?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3. Czy Zamawiający dookreśli w §2 ust. 18, iż termin załatwienia reklamacji jakościowej będzie liczony od dnia przesłania pisma reklamacyjnego wraz z reklamowanym towarem?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Reklamowany towar powinien zostać przesłany Wykonawcy w celu ustosunkowania się Wykonawcy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złożonej reklamacji. Proponowany przez Państwa zapis nakłada na Wykonawcę obowiązek wymiany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towaru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jedynie w oparciu o przesłane zgłoszenie bez możliwości ustosunkowania się do niego.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4. Czy Zamawiający zmieni wysokość kar umownych określonych w §8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ust. 1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- pkt 2 z 1% za każdą rozpoczętą godzinę zwłoki na 1% za każdy dzień zwłoki - termin dostaw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(wg. kryterium oceny ofert) oferowany ma być w dniach wg. formularza ofertowego, w związku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czym zwłokę powinno liczyć się również w dniach;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- w pkt 4 i 5 z 200 zł na 100 zł?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Przedstawione we wzorze umowy kary umowne nakładają na Wykonawcę obowiązek zapłaty zbyt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wygórowanej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kary umownej.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Mając na uwadze przepis zawarty w projekcie umowy w sprawie zamówienia publicznego stanowiącym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Załącznik do SIWZ zwracamy się o zmianę wysokości zastrzeżonych kar umownych.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Podkreślić należy, że w doktrynie prawa zamówień publicznych oraz w aktualnym orzecznictwie KIO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ustanawianie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przez Zamawiającego w umowie rażąco wysokich kar umownych (KIO 980/18 i KIO 983/18),</w:t>
      </w:r>
      <w:r w:rsidR="00A2366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bezwzględnie należy uznać, za naruszenie zasad zachowania uczciwej konkurencji, które może być</w:t>
      </w:r>
      <w:r w:rsidR="00A2366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uzasadnioną podstawą do żądania unieważnienia postępowania o udzielenie zamówienia publicznego</w:t>
      </w:r>
      <w:r w:rsidR="00A2366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 uwagi, iż postępowanie jest obarczone wadą uniemożliwiającą zawarcie ważnej umowy w sprawie</w:t>
      </w:r>
      <w:r w:rsidR="00A2366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zamówienia publicznego.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Ustalenie przez Zamawiającego zbyt wygórowanych kar umownych dla wykonawców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stanowi zatem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naruszenie prawa w zakresie równości stron umowy, co w konsekwencji prowadzi do sprzeczności celu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takiej  umowy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 zasadami współżycia społecznego i skutkować winno bezwzględną nieważność czynności prawnej na podstawie przepisu art. 3531k.c.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zw. z art. 58 § 1 k.c.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 xml:space="preserve">5. Czy Zamawiający zmieni termin dostawy określony w § 8 ust. 1 um. przechowania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 ….h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na …..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dni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Termin dostaw wg. kryterium oceny ofert ma być oferowany w dniach wg. formularza ofertowego,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w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związku z czym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umowa powinna być spójna z wymaganiami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6. Czy Zamawiający zmieni w §2 ust. 2 oraz §8 ust. 1 um. przechowania, iż szczegółowy skład i wielkość depozytu zostanie ustalona między stronami umowy?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7. Czy Zamawiający w §7 ust. 4 um. przechowania z uwagi na to, że faktury za towar przechowywany w depozycie wystawia się po zużyciu podczas procedury medycznej, czy Zamawiający zgodzi się na modyfikację zapisu, w taki sposób, że Fakturę za zużyty towar należy przesłać pocztą w ciągu …od otrzymania protokołu zużycia?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8. Dot. ust. 4 um. użyczenia, czy Zamawiający doprecyzuje, że chodzi o ubezpieczenie OC?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Ad.1 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Ad.2 Tak.  Data ważności może zostać wskazana na dokumencie WZ dostarczanym z towarem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Ad.3 Nie.  Zamawiający podtrzymuje zapisy projektu umowy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Ad.4  Zmiana zapisu kar umownych z godzin na dni, przy zachowaniu wysokości kar.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Ad.5 Tak - zmiana na dni wg kryterium termin dostaw (patrz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od  pyt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. 9)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Ad.6 Nie.  Zamawiający podtrzymuje zapisy projektu umowy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Ad.7 Nie.  Zamawiający podtrzymuje zapisy projektu umowy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Ad.8  Tak, chodzi o ubezpieczenie OC.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16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Zadanie nr 11 - "Tytanowy system do stabilizacji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przeznasadowej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przezskórnej kręgosłupa w odcinku piersiowo- lędźwiowym."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z uwagi na niewielką ilość zużywanych implantów zgodzi się aby zestaw był dosyłany każdorazowo 48h po zgłoszeniu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zapotrzebowania ? </w:t>
      </w:r>
      <w:proofErr w:type="gramEnd"/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SWZ.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17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wyrazi zgodę na dodanie załącznika do umowy w postaci umowy przechowania (dot. § 1 ust. 1 oraz um. przechowania) oraz udostępnienia (dot. § 2 ust. 19), których wzory przesyłamy w załączeniu?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Nie.  Zamawiający podtrzymuje zapisy projektów umów załączone do SWZ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18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Czy w celu miarkowania kar umownych Zamawiający dokona modyfikacji postanowień projektu przyszłej umowy w zakresie zapisów §8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ust. 1:</w:t>
      </w:r>
      <w:proofErr w:type="gramEnd"/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1. Wykonawca zapłaci Zamawiającemu kary umowne: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podanymi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w załączniku nr 1 do Umowy, a ilościami faktycznie zrealizowanych dostaw.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 xml:space="preserve">2) 0,5 % wartości brutto niedostarczonej partii towaru- za każdą rozpoczętą godzinę zwłoki w uzupełnieniu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,,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banku" w stosunku do terminu określonego w § 8 ust. 1, jednak nie więcej niż 10% wartości brutto niedostarczonej partii towaru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3) 0,5 % wartości brutto reklamowanej partii towaru - za każdy rozpoczęty dzień zwłoki w wymianie towaru na wolny od wad w stosunku do terminu określonego w § 2 ust. 18, jednak nie więcej niż 10% wartości brutto reklamowanej partii towaru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4) 50,00 zł.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brutto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za każdy dzień zwłoki w zakresie utworzenia "banku" w stosunku do terminu określonego w § 2 ust. 1 niniejszej umowy oraz w § 3 ust. 1 umowy przechowania, jednak nie więcej niż 10% wartości brutto niedostarczonej partii towaru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5) 50,00 zł.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brutto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za każdy dzień zwłoki w zakresie dostarczenia przedmiotu użyczenia w stosunku do terminu określonego w pkt. 3 umowy użyczenia, potwierdzone protokołem przekazania sprzętu, jednak nie więcej niż 10% wartości brutto niedostarczonego przedmiotu użyczenia.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6) w przypadku niedokonania zapłaty lub nieterminowej zapłaty wynagrodzenia należnego podwykonawcom z tytułu zmiany wysokości wynagrodzenia, o której mowa w § 12 umowy Wykonawca zobowiązany jest do zapłaty na rzecz Zamawiającego kary umownej - w wysokości 0,5% wynagrodzenia brutto, za każdy przypadek naruszenia.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Patrz odpowiedzi na pytanie 15, dla pozostałych Zamawiający podtrzymuje zapisy umów.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19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3.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Patrz zapisy §2 pkt 8 projektu umowy.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20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4. W celu zapewnienia równego traktowania Stron i umożliwienia Wykonawcy sprawdzenia zasadności reklamacji wnosimy o wprowadzenie w §2 ust. 18 projektu umowy 5 dniowego terminu na rozpatrzenie reklamacji.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projektu umowy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21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5. Czy ze względu na brak odpowiednich zapisów zamawiający uzupełni treść umowy o wskazanie 3 dniowego terminu na przekazanie wykonawcy informacji o zużyciu towaru z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depozytu ? (dot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. § 1 ust. 1 oraz um. przechowania)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lastRenderedPageBreak/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   projekcie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umowy  przechowania dodaje się zapis w § 2 dodaje się  pkt 6 o treści :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przekazanie wykonawcy informację o zużyciu towaru z depozytu w terminie do 3 dni od dnia zużycia.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22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6. Czy Zamawiający wyrazi zgodę na wprowadzenie zapisu o wykorzystaniu w pierwszej kolejności towarów z najkrótszym terminem ważności? (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dot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. § 1 ust. 1)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  Zamawiający podtrzymuje zapisy projektu umowy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 23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Zadanie nr 11 - "Tytanowy system do stabilizacji </w:t>
      </w:r>
      <w:proofErr w:type="spell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przeznasadowej</w:t>
      </w:r>
      <w:proofErr w:type="spell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przezskórnej kręgosłupa w odcinku piersiowo- lędźwiowym."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z uwagi na niewielką ilość zużywanych implantów zgodzi się aby zestaw był dosyłany każdorazowo 48h po zgłoszeniu zapotrzebowania przez pierwsze 6 miesiące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umowy ? </w:t>
      </w:r>
      <w:proofErr w:type="gramEnd"/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NIE.</w:t>
      </w:r>
    </w:p>
    <w:p w:rsidR="00893891" w:rsidRPr="001529C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24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Pytanie 1 - dotyczy pakietu 9: Czy ze względu na niewielką liczbę zabiegów Zamawiający odstąpi od wymogu utworzenia komisu i dopuści dostarczanie przedmiotu zamówienia wraz z instrumentarium każdorazowo do zabiegów?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Nie.  Zamawiający podtrzymuje zapisy SWZ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25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Pytanie 2 - dotyczy terminu dostaw / kryteria oceny ofert: Prosimy o potwierdzenie, że "termin dostaw", będący jednym z kryteriów oceny ofert, odnosi się do terminu utworzenia banku (Umowa dostawy, par. 2.1 - termin wyznaczony w dniach, a także treść Formularza ofertowego). Prosimy również o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wyjaśnienie jakiego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terminu uzupełniania banku Zamawiający oczekuje (Umowa przechowania, par. 8.1 - termin wyznaczony w godzinach nie został określony przez Zamawiającego).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Patrz odpowiedź na pytanie 9 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26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3 - dotyczy Umowy przechowania: Zwracamy się z wnioskiem o usunięcie punktu 4 z paragrafu 7 Umowy. Zgodnie z treścią punktu 3, a także zgodnie z par. 2 punkt 8 Umowy głównej, Wykonawca może złożyć fakturę za pomocą platformy faktur elektronicznych pefexpert.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pl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lub na adres mailowy 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 xml:space="preserve">podany przez Zamawiającego, zatem wymóg przesyłania faktur dodatkowo pocztą kurierską w ciągu 3 dni od dostarczenia towaru jest bezzasadny.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Nie. Zamawiający podtrzymuje zapisy projektu umowy. Wykonawca ma różne możliwości realizacji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27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Pytanie 4 - dotyczy par. 11 pkt 4 Umowy głównej: Czy Zamawiający dopuści możliwość zmiany treści umowy w następujących przypadkach? 1.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zastąpienie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produktów dotychczas dostarczanych produktami zamiennymi lub o </w:t>
      </w:r>
      <w:r w:rsidR="00A2366F" w:rsidRPr="00893891">
        <w:rPr>
          <w:rFonts w:ascii="Arial Narrow" w:hAnsi="Arial Narrow" w:cs="Arial"/>
          <w:bCs/>
          <w:sz w:val="24"/>
          <w:szCs w:val="24"/>
          <w:lang w:eastAsia="ar-SA"/>
        </w:rPr>
        <w:t>wyższej, jakości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, będącymi w ofercie Wykonawcy, przy zachowaniu parametrów i pod warunkiem, iż cena nie ulegnie zwiększeniu; 2. dodanie numeru katalogowego produktu będącego w ofercie Wykonawcy w cenie nie wyższej niż cena produktów dotychczas dostarczanych, w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przypadku gdy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będzie to uzasadnione potrzebami terapeutycznymi lub innymi potrzebami Zamawiającego. </w:t>
      </w:r>
    </w:p>
    <w:p w:rsid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Zasady i możliwość zmian asortymentu określono w §11 projektu umowy na dostawy.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PYTANIE  28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Pytanie 5 - dotyczy Umowy użyczenia: Czy nie doszło do omyłki w punkcie 3 Umowy, gdzie Zamawiający określił termin dostarczenia użyczanego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sprzętu jako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 7 dni kalendarzowych? W przypadku utworzenia banku w terminie krótszym niż 7 dni kalendarzowych, Zamawiający nie będzie miał możliwości z jego korzystania przez kilka pierwszych dni trwania Umowy.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 </w:t>
      </w:r>
    </w:p>
    <w:p w:rsidR="00893891" w:rsidRPr="00893891" w:rsidRDefault="00893891" w:rsidP="00893891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Nie ma omyłki, termin w projekcie umowy użyczenia został określony </w:t>
      </w:r>
      <w:proofErr w:type="gramStart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>,,</w:t>
      </w:r>
      <w:proofErr w:type="gramEnd"/>
      <w:r w:rsidRPr="00893891">
        <w:rPr>
          <w:rFonts w:ascii="Arial Narrow" w:hAnsi="Arial Narrow" w:cs="Arial"/>
          <w:bCs/>
          <w:sz w:val="24"/>
          <w:szCs w:val="24"/>
          <w:lang w:eastAsia="ar-SA"/>
        </w:rPr>
        <w:t xml:space="preserve">do 7 dni".  </w:t>
      </w:r>
    </w:p>
    <w:p w:rsidR="00893891" w:rsidRPr="00893891" w:rsidRDefault="00893891" w:rsidP="00893891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893891" w:rsidRPr="00893891" w:rsidRDefault="00893891" w:rsidP="00893891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893891">
        <w:rPr>
          <w:rFonts w:ascii="Arial" w:hAnsi="Arial" w:cs="Arial"/>
          <w:bCs/>
          <w:sz w:val="24"/>
          <w:szCs w:val="24"/>
          <w:lang w:eastAsia="ar-SA"/>
        </w:rPr>
        <w:t>Jednocześnie informuje się wysłaniu ogłoszenia o sprostowaniu do DzUUE w związku z przesunięciem terminu składania ofert na dzień 24.04.2023.</w:t>
      </w: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A2366F">
        <w:rPr>
          <w:rFonts w:ascii="Arial" w:hAnsi="Arial" w:cs="Arial"/>
          <w:i/>
          <w:sz w:val="24"/>
          <w:szCs w:val="24"/>
        </w:rPr>
        <w:t>Zamawiający</w:t>
      </w:r>
    </w:p>
    <w:p w:rsidR="00A2366F" w:rsidRDefault="00A2366F" w:rsidP="00A2366F">
      <w:pPr>
        <w:rPr>
          <w:rFonts w:ascii="Arial Narrow" w:hAnsi="Arial Narrow"/>
        </w:rPr>
      </w:pPr>
    </w:p>
    <w:p w:rsidR="00A2366F" w:rsidRDefault="00A2366F" w:rsidP="00A2366F">
      <w:pPr>
        <w:rPr>
          <w:rFonts w:ascii="Arial Narrow" w:hAnsi="Arial Narrow"/>
        </w:rPr>
      </w:pPr>
    </w:p>
    <w:p w:rsidR="00A2366F" w:rsidRDefault="00A2366F" w:rsidP="00A2366F">
      <w:pPr>
        <w:rPr>
          <w:rFonts w:ascii="Arial Narrow" w:hAnsi="Arial Narrow"/>
        </w:rPr>
      </w:pPr>
    </w:p>
    <w:p w:rsidR="00A2366F" w:rsidRDefault="00A2366F" w:rsidP="00A2366F">
      <w:pPr>
        <w:rPr>
          <w:rFonts w:ascii="Arial Narrow" w:hAnsi="Arial Narrow"/>
        </w:rPr>
      </w:pPr>
    </w:p>
    <w:p w:rsidR="00A2366F" w:rsidRDefault="00A2366F" w:rsidP="00A2366F">
      <w:pPr>
        <w:rPr>
          <w:rFonts w:ascii="Arial Narrow" w:hAnsi="Arial Narrow"/>
        </w:rPr>
      </w:pPr>
    </w:p>
    <w:p w:rsidR="00A2366F" w:rsidRDefault="00A2366F" w:rsidP="00A2366F">
      <w:pPr>
        <w:rPr>
          <w:rFonts w:ascii="Arial Narrow" w:hAnsi="Arial Narrow"/>
        </w:rPr>
      </w:pPr>
    </w:p>
    <w:p w:rsidR="001529C1" w:rsidRDefault="001529C1" w:rsidP="00A2366F">
      <w:pPr>
        <w:rPr>
          <w:rFonts w:ascii="Arial Narrow" w:hAnsi="Arial Narrow"/>
        </w:rPr>
      </w:pPr>
    </w:p>
    <w:p w:rsidR="001529C1" w:rsidRDefault="001529C1" w:rsidP="00A2366F">
      <w:pPr>
        <w:rPr>
          <w:rFonts w:ascii="Arial Narrow" w:hAnsi="Arial Narrow"/>
        </w:rPr>
      </w:pPr>
    </w:p>
    <w:p w:rsidR="001529C1" w:rsidRDefault="001529C1" w:rsidP="00A2366F">
      <w:pPr>
        <w:rPr>
          <w:rFonts w:ascii="Arial Narrow" w:hAnsi="Arial Narrow"/>
        </w:rPr>
      </w:pPr>
    </w:p>
    <w:p w:rsidR="001529C1" w:rsidRDefault="001529C1" w:rsidP="00A2366F">
      <w:pPr>
        <w:rPr>
          <w:rFonts w:ascii="Arial Narrow" w:hAnsi="Arial Narrow"/>
        </w:rPr>
      </w:pPr>
    </w:p>
    <w:p w:rsidR="00A2366F" w:rsidRDefault="00A2366F" w:rsidP="00A2366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A2366F" w:rsidRDefault="00A2366F" w:rsidP="00A2366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1529C1">
        <w:rPr>
          <w:rFonts w:ascii="Arial Narrow" w:hAnsi="Arial Narrow"/>
        </w:rPr>
        <w:t xml:space="preserve">A/a </w:t>
      </w:r>
      <w:proofErr w:type="gramStart"/>
      <w:r w:rsidRPr="001529C1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A2366F" w:rsidRDefault="00A2366F" w:rsidP="00A2366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1529C1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1529C1">
        <w:rPr>
          <w:rFonts w:ascii="Arial Narrow" w:hAnsi="Arial Narrow"/>
          <w:b/>
          <w:u w:val="single"/>
        </w:rPr>
        <w:t>str</w:t>
      </w:r>
      <w:proofErr w:type="spellEnd"/>
      <w:r w:rsidRPr="001529C1">
        <w:rPr>
          <w:rFonts w:ascii="Arial Narrow" w:hAnsi="Arial Narrow"/>
          <w:b/>
          <w:u w:val="single"/>
        </w:rPr>
        <w:t xml:space="preserve">  intern</w:t>
      </w:r>
      <w:proofErr w:type="gramEnd"/>
      <w:r w:rsidRPr="001529C1">
        <w:rPr>
          <w:rFonts w:ascii="Arial Narrow" w:hAnsi="Arial Narrow"/>
          <w:b/>
          <w:u w:val="single"/>
        </w:rPr>
        <w:t xml:space="preserve"> 10wsk.</w:t>
      </w:r>
      <w:proofErr w:type="gramStart"/>
      <w:r w:rsidRPr="001529C1">
        <w:rPr>
          <w:rFonts w:ascii="Arial Narrow" w:hAnsi="Arial Narrow"/>
          <w:b/>
          <w:u w:val="single"/>
        </w:rPr>
        <w:t>mil</w:t>
      </w:r>
      <w:proofErr w:type="gramEnd"/>
      <w:r w:rsidRPr="001529C1">
        <w:rPr>
          <w:rFonts w:ascii="Arial Narrow" w:hAnsi="Arial Narrow"/>
          <w:b/>
          <w:u w:val="single"/>
        </w:rPr>
        <w:t>.</w:t>
      </w:r>
      <w:proofErr w:type="gramStart"/>
      <w:r w:rsidRPr="001529C1">
        <w:rPr>
          <w:rFonts w:ascii="Arial Narrow" w:hAnsi="Arial Narrow"/>
          <w:b/>
          <w:u w:val="single"/>
        </w:rPr>
        <w:t>pl,  i</w:t>
      </w:r>
      <w:proofErr w:type="gramEnd"/>
      <w:r w:rsidRPr="001529C1">
        <w:rPr>
          <w:rFonts w:ascii="Arial Narrow" w:hAnsi="Arial Narrow"/>
          <w:b/>
          <w:u w:val="single"/>
        </w:rPr>
        <w:t xml:space="preserve"> </w:t>
      </w:r>
      <w:proofErr w:type="spellStart"/>
      <w:r w:rsidRPr="001529C1">
        <w:rPr>
          <w:rFonts w:ascii="Arial Narrow" w:hAnsi="Arial Narrow"/>
          <w:b/>
          <w:u w:val="single"/>
        </w:rPr>
        <w:t>platf</w:t>
      </w:r>
      <w:proofErr w:type="spellEnd"/>
      <w:r w:rsidRPr="001529C1">
        <w:rPr>
          <w:rFonts w:ascii="Arial Narrow" w:hAnsi="Arial Narrow"/>
          <w:b/>
          <w:u w:val="single"/>
        </w:rPr>
        <w:t xml:space="preserve">.: </w:t>
      </w:r>
      <w:proofErr w:type="gramStart"/>
      <w:r w:rsidRPr="001529C1">
        <w:rPr>
          <w:rFonts w:ascii="Arial Narrow" w:hAnsi="Arial Narrow"/>
          <w:b/>
          <w:u w:val="single"/>
        </w:rPr>
        <w:t>e-propublico</w:t>
      </w:r>
      <w:proofErr w:type="gramEnd"/>
      <w:r w:rsidRPr="001529C1">
        <w:rPr>
          <w:rFonts w:ascii="Arial Narrow" w:hAnsi="Arial Narrow"/>
          <w:b/>
          <w:u w:val="single"/>
        </w:rPr>
        <w:t>, SZP</w:t>
      </w:r>
      <w:bookmarkEnd w:id="0"/>
    </w:p>
    <w:p w:rsidR="00A2366F" w:rsidRDefault="00A2366F" w:rsidP="00A2366F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261 417 448</w:t>
      </w:r>
    </w:p>
    <w:sectPr w:rsidR="00A2366F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4DF" w:rsidRDefault="000264DF">
      <w:r>
        <w:separator/>
      </w:r>
    </w:p>
  </w:endnote>
  <w:endnote w:type="continuationSeparator" w:id="0">
    <w:p w:rsidR="000264DF" w:rsidRDefault="0002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C1" w:rsidRDefault="001529C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529C1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4DF" w:rsidRDefault="000264DF">
      <w:r>
        <w:separator/>
      </w:r>
    </w:p>
  </w:footnote>
  <w:footnote w:type="continuationSeparator" w:id="0">
    <w:p w:rsidR="000264DF" w:rsidRDefault="00026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4DF"/>
    <w:rsid w:val="000264DF"/>
    <w:rsid w:val="00031374"/>
    <w:rsid w:val="000A1097"/>
    <w:rsid w:val="000E2A8F"/>
    <w:rsid w:val="0012774F"/>
    <w:rsid w:val="00144B7A"/>
    <w:rsid w:val="001529C1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891"/>
    <w:rsid w:val="00897AB0"/>
    <w:rsid w:val="008A3553"/>
    <w:rsid w:val="009003D1"/>
    <w:rsid w:val="00947A50"/>
    <w:rsid w:val="00A2366F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763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1529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11</Pages>
  <Words>3666</Words>
  <Characters>21999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2023-04-14T10:25:00Z</cp:lastPrinted>
  <dcterms:created xsi:type="dcterms:W3CDTF">2023-04-14T09:54:00Z</dcterms:created>
  <dcterms:modified xsi:type="dcterms:W3CDTF">2023-04-14T10:26:00Z</dcterms:modified>
</cp:coreProperties>
</file>