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B36EC" w14:textId="20028778" w:rsidR="002A4D99" w:rsidRDefault="002A4D99" w:rsidP="002A4D9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eastAsia="pl-PL"/>
        </w:rPr>
        <w:drawing>
          <wp:inline distT="0" distB="0" distL="0" distR="0" wp14:anchorId="70ECC49F" wp14:editId="03564786">
            <wp:extent cx="5755005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229DC0" w14:textId="57C6E276" w:rsidR="003931D9" w:rsidRPr="003931D9" w:rsidRDefault="003931D9" w:rsidP="003931D9">
      <w:pPr>
        <w:jc w:val="right"/>
        <w:rPr>
          <w:rFonts w:ascii="Calibri" w:eastAsia="Calibri" w:hAnsi="Calibri" w:cs="Times New Roman"/>
          <w:sz w:val="24"/>
          <w:szCs w:val="24"/>
        </w:rPr>
      </w:pPr>
      <w:r w:rsidRPr="003931D9">
        <w:rPr>
          <w:rFonts w:ascii="Calibri" w:eastAsia="Calibri" w:hAnsi="Calibri" w:cs="Times New Roman"/>
          <w:sz w:val="24"/>
          <w:szCs w:val="24"/>
        </w:rPr>
        <w:t>Załącznik A do SWZ</w:t>
      </w:r>
    </w:p>
    <w:p w14:paraId="56344088" w14:textId="17F14C08" w:rsidR="003931D9" w:rsidRPr="005D7396" w:rsidRDefault="003931D9" w:rsidP="003931D9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5D7396">
        <w:rPr>
          <w:rFonts w:ascii="Calibri" w:eastAsia="Calibri" w:hAnsi="Calibri" w:cs="Times New Roman"/>
          <w:b/>
          <w:sz w:val="28"/>
          <w:szCs w:val="28"/>
        </w:rPr>
        <w:t>OPIS PRZEDMIOTU ZAMÓWIENIA</w:t>
      </w:r>
    </w:p>
    <w:p w14:paraId="3648173B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Przedmiotem zamówienia jest dostawa, montaż i uruchomienie wewnętrznego ekranu LED wraz z kompletnym osprzętem i oprogramowaniem</w:t>
      </w:r>
    </w:p>
    <w:p w14:paraId="06B00529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9C2A2DA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A77C3">
        <w:rPr>
          <w:rFonts w:eastAsia="Times New Roman" w:cstheme="minorHAnsi"/>
          <w:b/>
          <w:bCs/>
          <w:sz w:val="24"/>
          <w:szCs w:val="24"/>
          <w:lang w:eastAsia="pl-PL"/>
        </w:rPr>
        <w:t>Zakres przedmiotu zamówienia obejmuje w szczególności:</w:t>
      </w:r>
    </w:p>
    <w:p w14:paraId="2AEE5E70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Dostawę ekranu LED w technologii SMD P2 do siedziby Zamawiającego w Poznaniu, przy Al. Niepodległości 53.</w:t>
      </w:r>
    </w:p>
    <w:p w14:paraId="15A9AEFB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Bezusterkowy demontaż istniejącego ekranu składającego się z 25 szt. monitorów LCD.</w:t>
      </w:r>
    </w:p>
    <w:p w14:paraId="29AA80D1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Montaż ekranu LED w miejsce zdemontowanego ekranu LCD w siedzibie Zamawiającego.</w:t>
      </w:r>
    </w:p>
    <w:p w14:paraId="0D1C9D28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Wykonanie niezbędnych modyfikacji konstrukcji nośnej.</w:t>
      </w:r>
    </w:p>
    <w:p w14:paraId="1DC5C919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Wykonanie instalacji elektrycznej zasilającej ekran LED.</w:t>
      </w:r>
    </w:p>
    <w:p w14:paraId="47C07516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Wykonanie instalacji sieciowej (przewody RJ45) sterującej ekranem.</w:t>
      </w:r>
    </w:p>
    <w:p w14:paraId="3D589EE4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Kalibracja ekranu LED.</w:t>
      </w:r>
    </w:p>
    <w:p w14:paraId="0BD458C3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Wykonanie i dostarczenie kopii zapasowej konfiguracji ekranu LED.</w:t>
      </w:r>
    </w:p>
    <w:p w14:paraId="6C5DF2B3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Podłączenie, konfiguracja ekranu LED oraz pełna integracja z istniejącym systemem zarządzania wyświetlaną treścią, zbudowanym z modułu kontrolera systemu sterowania oraz paneli sterujących AMX.</w:t>
      </w:r>
    </w:p>
    <w:p w14:paraId="6B34B044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Wdrożenie oraz przeszkolenie z obsługi ekranu LED osób wskazanych przez Zamawiającego.</w:t>
      </w:r>
    </w:p>
    <w:p w14:paraId="5F5B08A1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ab/>
      </w:r>
    </w:p>
    <w:p w14:paraId="4266DFEE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A77C3">
        <w:rPr>
          <w:rFonts w:eastAsia="Times New Roman" w:cstheme="minorHAnsi"/>
          <w:b/>
          <w:bCs/>
          <w:sz w:val="24"/>
          <w:szCs w:val="24"/>
          <w:lang w:eastAsia="pl-PL"/>
        </w:rPr>
        <w:t>Wymagania ogólne:</w:t>
      </w:r>
    </w:p>
    <w:p w14:paraId="7FA98653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Ekran LED oraz cały osprzęt powinien być fabrycznie nowy, wyprodukowany nie wcześniej niż w 2023 roku.</w:t>
      </w:r>
    </w:p>
    <w:p w14:paraId="25930854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 xml:space="preserve">Typ procesora wizyjnego - </w:t>
      </w:r>
      <w:proofErr w:type="spellStart"/>
      <w:r w:rsidRPr="004A77C3">
        <w:rPr>
          <w:rFonts w:eastAsia="Times New Roman" w:cstheme="minorHAnsi"/>
          <w:sz w:val="24"/>
          <w:szCs w:val="24"/>
          <w:lang w:eastAsia="pl-PL"/>
        </w:rPr>
        <w:t>All</w:t>
      </w:r>
      <w:proofErr w:type="spellEnd"/>
      <w:r w:rsidRPr="004A77C3">
        <w:rPr>
          <w:rFonts w:eastAsia="Times New Roman" w:cstheme="minorHAnsi"/>
          <w:sz w:val="24"/>
          <w:szCs w:val="24"/>
          <w:lang w:eastAsia="pl-PL"/>
        </w:rPr>
        <w:t xml:space="preserve"> in One.</w:t>
      </w:r>
    </w:p>
    <w:p w14:paraId="14B340D5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 xml:space="preserve">Przeznaczenie ekranu LED - prezentacja statycznych materiałów wykładowych, konferencyjnych, przekaz materiałów „na żywo”, </w:t>
      </w:r>
      <w:proofErr w:type="spellStart"/>
      <w:r w:rsidRPr="004A77C3">
        <w:rPr>
          <w:rFonts w:eastAsia="Times New Roman" w:cstheme="minorHAnsi"/>
          <w:sz w:val="24"/>
          <w:szCs w:val="24"/>
          <w:lang w:eastAsia="pl-PL"/>
        </w:rPr>
        <w:t>MSTeams</w:t>
      </w:r>
      <w:proofErr w:type="spellEnd"/>
      <w:r w:rsidRPr="004A77C3">
        <w:rPr>
          <w:rFonts w:eastAsia="Times New Roman" w:cstheme="minorHAnsi"/>
          <w:sz w:val="24"/>
          <w:szCs w:val="24"/>
          <w:lang w:eastAsia="pl-PL"/>
        </w:rPr>
        <w:t xml:space="preserve">, </w:t>
      </w:r>
      <w:proofErr w:type="spellStart"/>
      <w:r w:rsidRPr="004A77C3">
        <w:rPr>
          <w:rFonts w:eastAsia="Times New Roman" w:cstheme="minorHAnsi"/>
          <w:sz w:val="24"/>
          <w:szCs w:val="24"/>
          <w:lang w:eastAsia="pl-PL"/>
        </w:rPr>
        <w:t>Youtube</w:t>
      </w:r>
      <w:proofErr w:type="spellEnd"/>
      <w:r w:rsidRPr="004A77C3">
        <w:rPr>
          <w:rFonts w:eastAsia="Times New Roman" w:cstheme="minorHAnsi"/>
          <w:sz w:val="24"/>
          <w:szCs w:val="24"/>
          <w:lang w:eastAsia="pl-PL"/>
        </w:rPr>
        <w:t>.</w:t>
      </w:r>
    </w:p>
    <w:p w14:paraId="3BCAD557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Kopia zapasowa konfiguracji zapisana w pliku konfiguracji RCFGX dla całego ekranu LED.</w:t>
      </w:r>
    </w:p>
    <w:p w14:paraId="6F6739A7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Dostarczona zapasowa ilość modułów serwisowych - 2 % ilości modułów, z których złożony jest ekran LED.</w:t>
      </w:r>
    </w:p>
    <w:p w14:paraId="661BADB5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Wszystkie diody muszą pochodzić od jednego producenta i posiadać tę samą klasę jakościową.</w:t>
      </w:r>
    </w:p>
    <w:p w14:paraId="4EE3E447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Montaż ekranu może zostać wykonany na istniejącym stelażu od zdemontowanego ekranu LCD, po dokonaniu odpowiednich modyfikacji. Szczegóły dotyczące modyfikacji wymagają konsultacji z Zamawiającym.</w:t>
      </w:r>
    </w:p>
    <w:p w14:paraId="17B9445F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Oferent powinien dołączyć do oferty kompletne specyfikacje techniczne oferowanych urządzeń celem potwierdzenia spełnienia warunków udziału w postępowaniu.</w:t>
      </w:r>
    </w:p>
    <w:p w14:paraId="3980BC6A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Zainstalowany ekran LED musi mieć możliwość wymiany modułów LED w kabinetach bez konieczności demontażu kompletnych kabinetów.</w:t>
      </w:r>
    </w:p>
    <w:p w14:paraId="1AC9086D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Serwisowanie ekranu LED – przednie (wykonywanie wszystkich czynności instalacyjnych i serwisowych tylko poprzez dostęp z przodu).</w:t>
      </w:r>
    </w:p>
    <w:p w14:paraId="2D54EFE0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lastRenderedPageBreak/>
        <w:t>Czas reakcji na zgłoszone usterki w trakcie trwania gwarancji nie dłuższy niż 24 godziny od zgłoszenia.</w:t>
      </w:r>
    </w:p>
    <w:p w14:paraId="2E8339A5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Czas wykonania naprawy w okresie gwarancji nie dłuższy niż 22 dni od dnia zgłoszenia usterki.</w:t>
      </w:r>
    </w:p>
    <w:p w14:paraId="7B473D8A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Maksymalny termin realizacji zamówienie – 31 dni od dnia podpisania umowy.</w:t>
      </w:r>
    </w:p>
    <w:p w14:paraId="7710C5B9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sz w:val="24"/>
          <w:szCs w:val="24"/>
          <w:lang w:eastAsia="pl-PL"/>
        </w:rPr>
        <w:t>Instrukcja użytkowania w j. polskim lub angielskim.</w:t>
      </w:r>
    </w:p>
    <w:p w14:paraId="597E4E4E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D8EE92A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77C3">
        <w:rPr>
          <w:rFonts w:eastAsia="Times New Roman" w:cstheme="minorHAnsi"/>
          <w:b/>
          <w:bCs/>
          <w:sz w:val="24"/>
          <w:szCs w:val="24"/>
          <w:lang w:eastAsia="pl-PL"/>
        </w:rPr>
        <w:t>Specyfikacja techniczna ekranu LED:</w:t>
      </w:r>
    </w:p>
    <w:p w14:paraId="4E93E080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5103"/>
      </w:tblGrid>
      <w:tr w:rsidR="004A77C3" w:rsidRPr="004A77C3" w14:paraId="6DB062B7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1A186C17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Wymiary ekranu LED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35F75CD0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wysokość 288 cm x szerokość 512 cm</w:t>
            </w:r>
          </w:p>
        </w:tc>
      </w:tr>
      <w:tr w:rsidR="004A77C3" w:rsidRPr="004A77C3" w14:paraId="18B5429D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2C7E771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Rozdzielczość ekranu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A068F53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minimum FULL HD</w:t>
            </w:r>
          </w:p>
        </w:tc>
      </w:tr>
      <w:tr w:rsidR="004A77C3" w:rsidRPr="004A77C3" w14:paraId="0E135BC6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CC9443E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Typ diody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504BFC1A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SMD w technologii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Pure</w:t>
            </w:r>
            <w:proofErr w:type="spellEnd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Black</w:t>
            </w:r>
          </w:p>
        </w:tc>
      </w:tr>
      <w:tr w:rsidR="004A77C3" w:rsidRPr="004A77C3" w14:paraId="7E1EA8A2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17B464BE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Konfiguracja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pixela</w:t>
            </w:r>
            <w:proofErr w:type="spellEnd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E898E22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1R1G1B</w:t>
            </w:r>
          </w:p>
        </w:tc>
      </w:tr>
      <w:tr w:rsidR="004A77C3" w:rsidRPr="004A77C3" w14:paraId="47A5B44D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9383979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Pixel</w:t>
            </w:r>
            <w:proofErr w:type="spellEnd"/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D01C313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nie gorszy niż 2 mm</w:t>
            </w:r>
          </w:p>
        </w:tc>
      </w:tr>
      <w:tr w:rsidR="004A77C3" w:rsidRPr="004A77C3" w14:paraId="3F37B960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B02C650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Gęstość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pixeli</w:t>
            </w:r>
            <w:proofErr w:type="spellEnd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47ECAD1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nie mniej niż 250 000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px</w:t>
            </w:r>
            <w:proofErr w:type="spellEnd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/m2</w:t>
            </w:r>
          </w:p>
        </w:tc>
      </w:tr>
      <w:tr w:rsidR="004A77C3" w:rsidRPr="004A77C3" w14:paraId="6F54E054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57CF5EAE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Jasność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49702C00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nie mniej niż 700 cd/m2</w:t>
            </w:r>
          </w:p>
        </w:tc>
      </w:tr>
      <w:tr w:rsidR="004A77C3" w:rsidRPr="004A77C3" w14:paraId="6BDBFCED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62ED8AC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Częstotliwość odświeżania LED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E3B1686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minimum 3840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Hz</w:t>
            </w:r>
            <w:proofErr w:type="spellEnd"/>
          </w:p>
        </w:tc>
      </w:tr>
      <w:tr w:rsidR="004A77C3" w:rsidRPr="004A77C3" w14:paraId="1EB81255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182FFD0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Kąty widzenia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499CC82C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140 st. pionowo / 140 st. poziomo</w:t>
            </w:r>
          </w:p>
        </w:tc>
      </w:tr>
      <w:tr w:rsidR="004A77C3" w:rsidRPr="004A77C3" w14:paraId="270C4072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16A41242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Żywotność przy 50% jasności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2F5D3D7A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100 000 h</w:t>
            </w:r>
          </w:p>
        </w:tc>
      </w:tr>
      <w:tr w:rsidR="004A77C3" w:rsidRPr="004A77C3" w14:paraId="3B4CEE68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1C112810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Klasa ochrony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593AAEB3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min. IP 20</w:t>
            </w:r>
          </w:p>
        </w:tc>
      </w:tr>
      <w:tr w:rsidR="004A77C3" w:rsidRPr="004A77C3" w14:paraId="70CD5929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1162DC68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Zastosowanie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18AE4658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wewnętrzne</w:t>
            </w:r>
          </w:p>
        </w:tc>
      </w:tr>
      <w:tr w:rsidR="004A77C3" w:rsidRPr="004A77C3" w14:paraId="3E7E0795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10E266C5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Zasilanie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588D4432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100-240 VAC, 50/60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Hz</w:t>
            </w:r>
            <w:proofErr w:type="spellEnd"/>
          </w:p>
        </w:tc>
      </w:tr>
      <w:tr w:rsidR="004A77C3" w:rsidRPr="004A77C3" w14:paraId="3640C3A8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03F5BBAB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System chłodzenia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52D4F1D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pasywny,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bezwentylatorowy</w:t>
            </w:r>
            <w:proofErr w:type="spellEnd"/>
          </w:p>
        </w:tc>
      </w:tr>
      <w:tr w:rsidR="004A77C3" w:rsidRPr="004A77C3" w14:paraId="5A9FBB4E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6D9EDFBE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Maksymalna grubość ekranu bez konstrukcji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14:paraId="02FA6274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80 mm</w:t>
            </w:r>
          </w:p>
        </w:tc>
      </w:tr>
      <w:tr w:rsidR="004A77C3" w:rsidRPr="004A77C3" w14:paraId="09AC719E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CE17DE6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Typ kabinetu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31A7B3E0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Pełny serwis od przodu</w:t>
            </w:r>
          </w:p>
        </w:tc>
      </w:tr>
      <w:tr w:rsidR="004A77C3" w:rsidRPr="004A77C3" w14:paraId="5CB8ED0D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78F7AB0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Materiał kabinetu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166285EF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Stal</w:t>
            </w:r>
          </w:p>
        </w:tc>
      </w:tr>
      <w:tr w:rsidR="004A77C3" w:rsidRPr="004A77C3" w14:paraId="0C63DE62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D6AF3A6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Ramka, przerwa w obrazie po złożeniu kabinetów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14:paraId="4B11FEAC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Brak, zero</w:t>
            </w:r>
          </w:p>
        </w:tc>
      </w:tr>
      <w:tr w:rsidR="004A77C3" w:rsidRPr="004A77C3" w14:paraId="7CE15DCD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6E571D88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1F14D2A2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4A77C3" w:rsidRPr="004A77C3" w14:paraId="4655D9CD" w14:textId="77777777" w:rsidTr="001B01AD">
        <w:trPr>
          <w:trHeight w:val="380"/>
        </w:trPr>
        <w:tc>
          <w:tcPr>
            <w:tcW w:w="9067" w:type="dxa"/>
            <w:gridSpan w:val="2"/>
            <w:shd w:val="clear" w:color="auto" w:fill="auto"/>
            <w:noWrap/>
            <w:vAlign w:val="bottom"/>
            <w:hideMark/>
          </w:tcPr>
          <w:p w14:paraId="6CD87037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Procesor wizyjny typu </w:t>
            </w:r>
            <w:proofErr w:type="spellStart"/>
            <w:r w:rsidRPr="004A77C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All</w:t>
            </w:r>
            <w:proofErr w:type="spellEnd"/>
            <w:r w:rsidRPr="004A77C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in One z funkcją konfiguracji ekranu LED</w:t>
            </w:r>
          </w:p>
        </w:tc>
      </w:tr>
      <w:tr w:rsidR="004A77C3" w:rsidRPr="004A77C3" w14:paraId="49DDCD42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669175FF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Możliwość zarządzania z panelu przedniego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568A062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TAK</w:t>
            </w:r>
          </w:p>
        </w:tc>
      </w:tr>
      <w:tr w:rsidR="004A77C3" w:rsidRPr="004A77C3" w14:paraId="7EC8FD9E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5D1827FA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Wbudowany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skaler</w:t>
            </w:r>
            <w:proofErr w:type="spellEnd"/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2C29B35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TAK</w:t>
            </w:r>
          </w:p>
        </w:tc>
      </w:tr>
      <w:tr w:rsidR="004A77C3" w:rsidRPr="004A77C3" w14:paraId="2C73C943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FB68D89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Funkcja PIP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1960AA59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TAK</w:t>
            </w:r>
          </w:p>
        </w:tc>
      </w:tr>
      <w:tr w:rsidR="004A77C3" w:rsidRPr="004A77C3" w14:paraId="6B2447D2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0FCDA44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Obsługiwana rozdzielczość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2F4E551F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min. UHD (3840x2160)</w:t>
            </w:r>
          </w:p>
        </w:tc>
      </w:tr>
      <w:tr w:rsidR="004A77C3" w:rsidRPr="004A77C3" w14:paraId="19D5AA28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69E44104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Kontrola jasności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49F2EDC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min. 256 poziomów</w:t>
            </w:r>
          </w:p>
        </w:tc>
      </w:tr>
      <w:tr w:rsidR="004A77C3" w:rsidRPr="004A77C3" w14:paraId="7982DB42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4ED7A4D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Obsługiwana ilość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pixeli</w:t>
            </w:r>
            <w:proofErr w:type="spellEnd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1579B78A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min. 5000000</w:t>
            </w:r>
          </w:p>
        </w:tc>
      </w:tr>
      <w:tr w:rsidR="004A77C3" w:rsidRPr="004A77C3" w14:paraId="5B4BC6FF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C2260AC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Ilość warstw obrazu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3DE37D54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min. 3</w:t>
            </w:r>
          </w:p>
        </w:tc>
      </w:tr>
      <w:tr w:rsidR="004A77C3" w:rsidRPr="004A77C3" w14:paraId="226FD0B4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051E096B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lastRenderedPageBreak/>
              <w:t xml:space="preserve">Ilość obsługiwanych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presetów</w:t>
            </w:r>
            <w:proofErr w:type="spellEnd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C5C0D1C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min. 10</w:t>
            </w:r>
          </w:p>
        </w:tc>
      </w:tr>
      <w:tr w:rsidR="004A77C3" w:rsidRPr="004A77C3" w14:paraId="4A86B62E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6A641AA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Porty wyjściowe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2331DA0C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RJ45</w:t>
            </w:r>
          </w:p>
        </w:tc>
      </w:tr>
      <w:tr w:rsidR="004A77C3" w:rsidRPr="004A77C3" w14:paraId="606A108A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D07E8EA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Ilość portów wyjściowych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237F298F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minimum 8 szt.</w:t>
            </w:r>
          </w:p>
        </w:tc>
      </w:tr>
      <w:tr w:rsidR="004A77C3" w:rsidRPr="004A77C3" w14:paraId="3259CF1B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600963CF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Obsługiwana rozdzielczość dla portu wyjściowego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346E8B2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min. 650 000 </w:t>
            </w: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px</w:t>
            </w:r>
            <w:proofErr w:type="spellEnd"/>
          </w:p>
        </w:tc>
      </w:tr>
      <w:tr w:rsidR="004A77C3" w:rsidRPr="004A77C3" w14:paraId="55F88DBE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A6AFB80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Ilość wejść HDMI 1.4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353F3C49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min. 2 szt.</w:t>
            </w:r>
          </w:p>
        </w:tc>
      </w:tr>
      <w:tr w:rsidR="004A77C3" w:rsidRPr="004A77C3" w14:paraId="7C0C0413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B6287F7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Ilość wejść DVI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4E06F5AE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 2 szt.</w:t>
            </w:r>
          </w:p>
        </w:tc>
      </w:tr>
      <w:tr w:rsidR="004A77C3" w:rsidRPr="004A77C3" w14:paraId="2EBE258B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405545F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Ilość wejść 3G-SDI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B82A9F0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min. 1 szt.</w:t>
            </w:r>
          </w:p>
        </w:tc>
      </w:tr>
      <w:tr w:rsidR="004A77C3" w:rsidRPr="004A77C3" w14:paraId="6049D520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4FB318AA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Ilość wejść HDMI LOOP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24C6236D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min 1 szt.</w:t>
            </w:r>
          </w:p>
        </w:tc>
      </w:tr>
      <w:tr w:rsidR="004A77C3" w:rsidRPr="004A77C3" w14:paraId="2819DCF3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0B82263D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Możliwość połączenia kaskadowego za pomocą USB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14:paraId="1B019E12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tak</w:t>
            </w:r>
          </w:p>
        </w:tc>
      </w:tr>
      <w:tr w:rsidR="004A77C3" w:rsidRPr="004A77C3" w14:paraId="06BC2582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033E29E7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Obudowa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2DA2B4F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spellStart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rack</w:t>
            </w:r>
            <w:proofErr w:type="spellEnd"/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19"</w:t>
            </w:r>
          </w:p>
        </w:tc>
      </w:tr>
      <w:tr w:rsidR="004A77C3" w:rsidRPr="004A77C3" w14:paraId="1A0D9B7C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AF7B25A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Oprogramowanie do sterowania ekranem LED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14:paraId="0B821FE0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tak</w:t>
            </w:r>
          </w:p>
        </w:tc>
      </w:tr>
    </w:tbl>
    <w:p w14:paraId="1712A5FD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5103"/>
      </w:tblGrid>
      <w:tr w:rsidR="004A77C3" w:rsidRPr="004A77C3" w14:paraId="77E55859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41768864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Warunki gwarancji: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B5B47FB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4A77C3" w:rsidRPr="004A77C3" w14:paraId="414CDBE7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347B4B63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907F4F2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36-miesięczna producenta z serwisem u klienta</w:t>
            </w:r>
          </w:p>
        </w:tc>
      </w:tr>
      <w:tr w:rsidR="004A77C3" w:rsidRPr="004A77C3" w14:paraId="51282322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C9D0DA7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Czas reakcji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021863F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Do 24 godzin od momentu zgłoszenia usterki</w:t>
            </w:r>
          </w:p>
        </w:tc>
      </w:tr>
      <w:tr w:rsidR="004A77C3" w:rsidRPr="004A77C3" w14:paraId="189423E4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0BD8C01F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Dodatkowa punktacja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154F26E7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4A77C3" w:rsidRPr="004A77C3" w14:paraId="6BBA8CBD" w14:textId="77777777" w:rsidTr="001B01AD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</w:tcPr>
          <w:p w14:paraId="0631AF9C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</w:tcPr>
          <w:p w14:paraId="3B2A959D" w14:textId="77777777" w:rsidR="004A77C3" w:rsidRPr="004A77C3" w:rsidRDefault="004A77C3" w:rsidP="004A77C3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A77C3">
              <w:rPr>
                <w:rFonts w:eastAsia="Times New Roman" w:cstheme="minorHAnsi"/>
                <w:sz w:val="24"/>
                <w:szCs w:val="24"/>
                <w:lang w:eastAsia="pl-PL"/>
              </w:rPr>
              <w:t>Dodatkowe punkty za okres gwarancji - 36m/48m/60m</w:t>
            </w:r>
          </w:p>
        </w:tc>
      </w:tr>
    </w:tbl>
    <w:p w14:paraId="6EB60D4B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928DFF8" w14:textId="77777777" w:rsidR="004A77C3" w:rsidRPr="004A77C3" w:rsidRDefault="004A77C3" w:rsidP="004A77C3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726ADF9B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bookmarkStart w:id="0" w:name="_GoBack"/>
      <w:bookmarkEnd w:id="0"/>
    </w:p>
    <w:sectPr w:rsidR="005D7396" w:rsidRPr="005D73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2Mba0NDWyMLcwszRV0lEKTi0uzszPAykwrAUAbvHJRCwAAAA="/>
  </w:docVars>
  <w:rsids>
    <w:rsidRoot w:val="00DA3D43"/>
    <w:rsid w:val="00254EA9"/>
    <w:rsid w:val="002A4D99"/>
    <w:rsid w:val="00303A3C"/>
    <w:rsid w:val="003931D9"/>
    <w:rsid w:val="004A77C3"/>
    <w:rsid w:val="005D7396"/>
    <w:rsid w:val="006C1045"/>
    <w:rsid w:val="00DA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8B2CB"/>
  <w15:chartTrackingRefBased/>
  <w15:docId w15:val="{84FC9367-6D3E-483D-855F-2DD0D3C3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77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77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8D404703D5634B9E84D9D49AB691F6" ma:contentTypeVersion="14" ma:contentTypeDescription="Utwórz nowy dokument." ma:contentTypeScope="" ma:versionID="92e2a6bae72415a25a0731f8a019f1c3">
  <xsd:schema xmlns:xsd="http://www.w3.org/2001/XMLSchema" xmlns:xs="http://www.w3.org/2001/XMLSchema" xmlns:p="http://schemas.microsoft.com/office/2006/metadata/properties" xmlns:ns3="15113445-096d-4f69-a125-a4412247dfee" xmlns:ns4="7cad4052-da29-49e5-baa4-5d3df2b9d1dd" targetNamespace="http://schemas.microsoft.com/office/2006/metadata/properties" ma:root="true" ma:fieldsID="da60e82091bfe909c5cce735ccd8a5f4" ns3:_="" ns4:_="">
    <xsd:import namespace="15113445-096d-4f69-a125-a4412247dfee"/>
    <xsd:import namespace="7cad4052-da29-49e5-baa4-5d3df2b9d1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3445-096d-4f69-a125-a4412247d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d4052-da29-49e5-baa4-5d3df2b9d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722AFA-7BB9-4472-8AA6-95B9AC5F0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3445-096d-4f69-a125-a4412247dfee"/>
    <ds:schemaRef ds:uri="7cad4052-da29-49e5-baa4-5d3df2b9d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135B9A-5947-472E-9D77-9B1A9A8441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3E3793-3215-4B06-AC4C-6E2EDFD114E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15113445-096d-4f69-a125-a4412247dfe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7cad4052-da29-49e5-baa4-5d3df2b9d1dd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Graczykowski</dc:creator>
  <cp:keywords/>
  <dc:description/>
  <cp:lastModifiedBy>Alicja Bemowicz</cp:lastModifiedBy>
  <cp:revision>4</cp:revision>
  <cp:lastPrinted>2023-05-24T06:32:00Z</cp:lastPrinted>
  <dcterms:created xsi:type="dcterms:W3CDTF">2023-05-22T08:34:00Z</dcterms:created>
  <dcterms:modified xsi:type="dcterms:W3CDTF">2023-05-24T06:32:00Z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0x010100B78D404703D5634B9E84D9D49AB691F6</vt:lpwstr>
  </property>
</Properties>
</file>