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7C18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C775CD" w:rsidRPr="00C775CD" w:rsidRDefault="001F027E" w:rsidP="007B1BC7">
      <w:pPr>
        <w:spacing w:before="36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  <w:r w:rsidR="007B1BC7" w:rsidRPr="007B1BC7">
        <w:t xml:space="preserve"> </w:t>
      </w:r>
      <w:bookmarkStart w:id="0" w:name="_GoBack"/>
      <w:r w:rsidR="007B1BC7" w:rsidRPr="00963A33">
        <w:rPr>
          <w:rFonts w:ascii="Arial" w:hAnsi="Arial" w:cs="Arial"/>
          <w:b/>
          <w:sz w:val="24"/>
          <w:szCs w:val="24"/>
        </w:rPr>
        <w:t>Usługi cateringowe podczas uroczystej inauguracji roku akademickiego 2023/24  w budynku Wydziału Inżynierii  i Technologii Chemicznej-</w:t>
      </w:r>
      <w:r w:rsidR="007B1BC7">
        <w:rPr>
          <w:rFonts w:ascii="Arial" w:hAnsi="Arial" w:cs="Arial"/>
          <w:b/>
          <w:sz w:val="28"/>
          <w:szCs w:val="28"/>
        </w:rPr>
        <w:t xml:space="preserve"> </w:t>
      </w:r>
      <w:bookmarkEnd w:id="0"/>
      <w:r w:rsidR="00C775CD" w:rsidRPr="00C775CD">
        <w:rPr>
          <w:rFonts w:ascii="Arial" w:hAnsi="Arial" w:cs="Arial"/>
          <w:b/>
          <w:sz w:val="24"/>
          <w:szCs w:val="24"/>
        </w:rPr>
        <w:t>Znak sprawy: KA-2/</w:t>
      </w:r>
      <w:r w:rsidR="007B1BC7">
        <w:rPr>
          <w:rFonts w:ascii="Arial" w:hAnsi="Arial" w:cs="Arial"/>
          <w:b/>
          <w:sz w:val="24"/>
          <w:szCs w:val="24"/>
        </w:rPr>
        <w:t>067</w:t>
      </w:r>
      <w:r w:rsidR="00C775CD" w:rsidRPr="00C775CD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1113E" w:rsidRDefault="0051113E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</w:t>
      </w:r>
      <w:r w:rsidRPr="00A94B71">
        <w:rPr>
          <w:rFonts w:ascii="Arial" w:hAnsi="Arial" w:cs="Arial"/>
          <w:sz w:val="24"/>
          <w:szCs w:val="24"/>
        </w:rPr>
        <w:t xml:space="preserve">na podstawie art. 109 ust. 1 pkt 4, 5, 7 ustawy </w:t>
      </w:r>
      <w:proofErr w:type="spellStart"/>
      <w:r w:rsidRPr="00A94B71">
        <w:rPr>
          <w:rFonts w:ascii="Arial" w:hAnsi="Arial" w:cs="Arial"/>
          <w:sz w:val="24"/>
          <w:szCs w:val="24"/>
        </w:rPr>
        <w:t>Pzp</w:t>
      </w:r>
      <w:proofErr w:type="spellEnd"/>
      <w:r w:rsidRPr="00A94B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 xml:space="preserve">w stosunku do którego otwarto likwidację, ogłoszono upadłość, którego aktywami zarządza likwidator lub sąd, zawarł układ z wierzycielami, którego działalność gospodarcza jest zawieszona albo znajduje się on w innej tego </w:t>
      </w:r>
      <w:r w:rsidRPr="005534AE">
        <w:rPr>
          <w:rFonts w:ascii="Arial" w:hAnsi="Arial" w:cs="Arial"/>
          <w:sz w:val="24"/>
          <w:szCs w:val="24"/>
        </w:rPr>
        <w:lastRenderedPageBreak/>
        <w:t>rodzaju sytuacji wynikającej z podobnej procedury przewidzianej w przepisach miejsca wszczęcia tej procedury.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51113E" w:rsidRDefault="0051113E" w:rsidP="0051113E">
      <w:pPr>
        <w:pStyle w:val="Akapitzlist"/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FBA" w:rsidRDefault="00FC6FBA" w:rsidP="0038231F">
      <w:pPr>
        <w:spacing w:after="0" w:line="240" w:lineRule="auto"/>
      </w:pPr>
      <w:r>
        <w:separator/>
      </w:r>
    </w:p>
  </w:endnote>
  <w:end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FBA" w:rsidRDefault="00FC6FBA" w:rsidP="0038231F">
      <w:pPr>
        <w:spacing w:after="0" w:line="240" w:lineRule="auto"/>
      </w:pPr>
      <w:r>
        <w:separator/>
      </w:r>
    </w:p>
  </w:footnote>
  <w:foot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1183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1BC7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A33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909B9"/>
    <w:rsid w:val="00CD0851"/>
    <w:rsid w:val="00CD08DC"/>
    <w:rsid w:val="00CD4DD1"/>
    <w:rsid w:val="00D229A7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936B8-A538-4751-B4F8-5B8779CD4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4</cp:revision>
  <cp:lastPrinted>2023-03-07T10:46:00Z</cp:lastPrinted>
  <dcterms:created xsi:type="dcterms:W3CDTF">2023-05-17T10:06:00Z</dcterms:created>
  <dcterms:modified xsi:type="dcterms:W3CDTF">2023-07-03T07:06:00Z</dcterms:modified>
</cp:coreProperties>
</file>