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113B9F" w:rsidRPr="00113B9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13B9F" w:rsidRPr="00113B9F">
        <w:rPr>
          <w:b/>
          <w:sz w:val="22"/>
          <w:szCs w:val="22"/>
        </w:rPr>
        <w:t>NZ/44/D/P/AC/2023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B9F" w:rsidRPr="00110593" w:rsidTr="00CC380B">
        <w:tc>
          <w:tcPr>
            <w:tcW w:w="9104" w:type="dxa"/>
            <w:shd w:val="clear" w:color="auto" w:fill="D9D9D9"/>
          </w:tcPr>
          <w:p w:rsidR="00113B9F" w:rsidRPr="00110593" w:rsidRDefault="00113B9F" w:rsidP="00CC380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13B9F" w:rsidRPr="00110593" w:rsidRDefault="00113B9F" w:rsidP="00CC380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13B9F">
              <w:t>(t.j. Dz. U. z 2022r. poz. 1710)</w:t>
            </w:r>
            <w:r w:rsidRPr="00110593">
              <w:t xml:space="preserve"> (dalej jako: ustawa Pzp), dotyczące:</w:t>
            </w:r>
          </w:p>
          <w:p w:rsidR="00113B9F" w:rsidRPr="0043102D" w:rsidRDefault="00113B9F" w:rsidP="00CC380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13B9F" w:rsidRPr="00110593" w:rsidRDefault="00113B9F" w:rsidP="00CC380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13B9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13B9F">
        <w:rPr>
          <w:b/>
          <w:sz w:val="22"/>
          <w:szCs w:val="22"/>
        </w:rPr>
        <w:t>Dostawy różnych artykułów ujęte w dziewięciu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DFB" w:rsidRDefault="00112DFB">
      <w:r>
        <w:separator/>
      </w:r>
    </w:p>
  </w:endnote>
  <w:endnote w:type="continuationSeparator" w:id="0">
    <w:p w:rsidR="00112DFB" w:rsidRDefault="00112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3B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3B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DFB" w:rsidRDefault="00112DFB">
      <w:r>
        <w:separator/>
      </w:r>
    </w:p>
  </w:footnote>
  <w:footnote w:type="continuationSeparator" w:id="0">
    <w:p w:rsidR="00112DFB" w:rsidRDefault="00112DF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2DFB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12DFB"/>
    <w:rsid w:val="00113B9F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B05FF5-ABAC-484D-AFA7-9A3F90324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9D8F0-4ED2-41AB-B35B-1DA5DE28D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2023-07-26T11:41:00Z</dcterms:created>
  <dcterms:modified xsi:type="dcterms:W3CDTF">2023-07-26T11:41:00Z</dcterms:modified>
</cp:coreProperties>
</file>