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D88D3" w14:textId="77777777" w:rsidR="006A5DF1" w:rsidRPr="00116F6D" w:rsidRDefault="00C82664" w:rsidP="006A5DF1">
      <w:pPr>
        <w:spacing w:after="240"/>
        <w:jc w:val="right"/>
        <w:rPr>
          <w:sz w:val="24"/>
          <w:szCs w:val="24"/>
        </w:rPr>
      </w:pPr>
      <w:r w:rsidRPr="00116F6D">
        <w:rPr>
          <w:sz w:val="24"/>
          <w:szCs w:val="24"/>
        </w:rPr>
        <w:t>Poznań</w:t>
      </w:r>
      <w:r w:rsidR="006A5DF1" w:rsidRPr="00116F6D">
        <w:rPr>
          <w:sz w:val="24"/>
          <w:szCs w:val="24"/>
        </w:rPr>
        <w:t xml:space="preserve"> dnia: </w:t>
      </w:r>
      <w:r w:rsidRPr="00116F6D">
        <w:rPr>
          <w:sz w:val="24"/>
          <w:szCs w:val="24"/>
        </w:rPr>
        <w:t>2023-08-11</w:t>
      </w:r>
    </w:p>
    <w:p w14:paraId="2A028C8E" w14:textId="77777777" w:rsidR="00C82664" w:rsidRPr="00116F6D" w:rsidRDefault="00C82664" w:rsidP="006A5DF1">
      <w:pPr>
        <w:rPr>
          <w:b/>
          <w:bCs/>
          <w:sz w:val="24"/>
          <w:szCs w:val="24"/>
        </w:rPr>
      </w:pPr>
      <w:r w:rsidRPr="00116F6D">
        <w:rPr>
          <w:b/>
          <w:bCs/>
          <w:sz w:val="24"/>
          <w:szCs w:val="24"/>
        </w:rPr>
        <w:t>Szpital Wojewódzki w Poznaniu</w:t>
      </w:r>
    </w:p>
    <w:p w14:paraId="3ED6E2A3" w14:textId="77777777" w:rsidR="006A5DF1" w:rsidRPr="00116F6D" w:rsidRDefault="00C82664" w:rsidP="006A5DF1">
      <w:pPr>
        <w:rPr>
          <w:b/>
          <w:bCs/>
          <w:sz w:val="24"/>
          <w:szCs w:val="24"/>
        </w:rPr>
      </w:pPr>
      <w:r w:rsidRPr="00116F6D">
        <w:rPr>
          <w:b/>
          <w:bCs/>
          <w:sz w:val="24"/>
          <w:szCs w:val="24"/>
        </w:rPr>
        <w:t>Dział Zamówień Publicznych</w:t>
      </w:r>
    </w:p>
    <w:p w14:paraId="54C16E81" w14:textId="77777777" w:rsidR="006A5DF1" w:rsidRPr="00116F6D" w:rsidRDefault="00C82664" w:rsidP="006A5DF1">
      <w:pPr>
        <w:rPr>
          <w:sz w:val="24"/>
          <w:szCs w:val="24"/>
        </w:rPr>
      </w:pPr>
      <w:r w:rsidRPr="00116F6D">
        <w:rPr>
          <w:sz w:val="24"/>
          <w:szCs w:val="24"/>
        </w:rPr>
        <w:t>Juraszów</w:t>
      </w:r>
      <w:r w:rsidR="006A5DF1" w:rsidRPr="00116F6D">
        <w:rPr>
          <w:sz w:val="24"/>
          <w:szCs w:val="24"/>
        </w:rPr>
        <w:t xml:space="preserve"> </w:t>
      </w:r>
      <w:r w:rsidRPr="00116F6D">
        <w:rPr>
          <w:sz w:val="24"/>
          <w:szCs w:val="24"/>
        </w:rPr>
        <w:t>7/19</w:t>
      </w:r>
    </w:p>
    <w:p w14:paraId="1BB92095" w14:textId="77777777" w:rsidR="006A5DF1" w:rsidRPr="00116F6D" w:rsidRDefault="00C82664" w:rsidP="006A5DF1">
      <w:pPr>
        <w:rPr>
          <w:sz w:val="24"/>
          <w:szCs w:val="24"/>
        </w:rPr>
      </w:pPr>
      <w:r w:rsidRPr="00116F6D">
        <w:rPr>
          <w:sz w:val="24"/>
          <w:szCs w:val="24"/>
        </w:rPr>
        <w:t>60-479</w:t>
      </w:r>
      <w:r w:rsidR="006A5DF1" w:rsidRPr="00116F6D">
        <w:rPr>
          <w:sz w:val="24"/>
          <w:szCs w:val="24"/>
        </w:rPr>
        <w:t xml:space="preserve"> </w:t>
      </w:r>
      <w:r w:rsidRPr="00116F6D">
        <w:rPr>
          <w:sz w:val="24"/>
          <w:szCs w:val="24"/>
        </w:rPr>
        <w:t>Poznań</w:t>
      </w:r>
    </w:p>
    <w:p w14:paraId="24316C6F" w14:textId="7FF549D1" w:rsidR="006A5DF1" w:rsidRPr="00116F6D" w:rsidRDefault="006A5DF1" w:rsidP="006A5DF1">
      <w:pPr>
        <w:pStyle w:val="Nagwek"/>
        <w:tabs>
          <w:tab w:val="clear" w:pos="4536"/>
        </w:tabs>
        <w:rPr>
          <w:sz w:val="24"/>
          <w:szCs w:val="24"/>
        </w:rPr>
      </w:pPr>
      <w:r w:rsidRPr="00116F6D">
        <w:rPr>
          <w:sz w:val="24"/>
          <w:szCs w:val="24"/>
        </w:rPr>
        <w:t xml:space="preserve"> </w:t>
      </w:r>
    </w:p>
    <w:p w14:paraId="17199FAA" w14:textId="77777777" w:rsidR="006A5DF1" w:rsidRPr="00116F6D" w:rsidRDefault="006A5DF1" w:rsidP="006A5DF1">
      <w:pPr>
        <w:pStyle w:val="Nagwek"/>
        <w:tabs>
          <w:tab w:val="clear" w:pos="4536"/>
          <w:tab w:val="clear" w:pos="9072"/>
        </w:tabs>
        <w:rPr>
          <w:sz w:val="24"/>
          <w:szCs w:val="24"/>
        </w:rPr>
      </w:pPr>
    </w:p>
    <w:p w14:paraId="4D0F0AB8" w14:textId="77777777" w:rsidR="006A5DF1" w:rsidRPr="00116F6D" w:rsidRDefault="006A5DF1" w:rsidP="009003D1">
      <w:pPr>
        <w:tabs>
          <w:tab w:val="left" w:pos="708"/>
          <w:tab w:val="center" w:pos="4536"/>
          <w:tab w:val="right" w:pos="9072"/>
        </w:tabs>
        <w:spacing w:after="20"/>
        <w:ind w:left="4820"/>
        <w:rPr>
          <w:b/>
          <w:sz w:val="24"/>
          <w:szCs w:val="24"/>
        </w:rPr>
      </w:pPr>
      <w:r w:rsidRPr="00116F6D">
        <w:rPr>
          <w:b/>
          <w:sz w:val="24"/>
          <w:szCs w:val="24"/>
        </w:rPr>
        <w:t>WYKONAWCY</w:t>
      </w:r>
    </w:p>
    <w:p w14:paraId="551B21C0" w14:textId="77777777" w:rsidR="006A5DF1" w:rsidRPr="00116F6D" w:rsidRDefault="006A5DF1" w:rsidP="009003D1">
      <w:pPr>
        <w:tabs>
          <w:tab w:val="left" w:pos="708"/>
          <w:tab w:val="center" w:pos="4536"/>
          <w:tab w:val="right" w:pos="9072"/>
        </w:tabs>
        <w:spacing w:after="20"/>
        <w:ind w:left="4820"/>
        <w:rPr>
          <w:sz w:val="24"/>
          <w:szCs w:val="24"/>
        </w:rPr>
      </w:pPr>
      <w:r w:rsidRPr="00116F6D">
        <w:rPr>
          <w:sz w:val="24"/>
          <w:szCs w:val="24"/>
        </w:rPr>
        <w:t>ubiegający się o zamówienie publiczne</w:t>
      </w:r>
    </w:p>
    <w:p w14:paraId="0CEAB04C" w14:textId="77777777" w:rsidR="006D4AB3" w:rsidRPr="00116F6D" w:rsidRDefault="006D4AB3">
      <w:pPr>
        <w:pStyle w:val="Nagwek"/>
        <w:tabs>
          <w:tab w:val="clear" w:pos="4536"/>
        </w:tabs>
        <w:rPr>
          <w:sz w:val="22"/>
          <w:szCs w:val="22"/>
        </w:rPr>
      </w:pPr>
    </w:p>
    <w:p w14:paraId="68F3A7E0" w14:textId="77777777" w:rsidR="00632C3C" w:rsidRPr="00116F6D" w:rsidRDefault="00E21B49" w:rsidP="0029606A">
      <w:pPr>
        <w:pStyle w:val="Nagwek1"/>
        <w:spacing w:after="480" w:line="276" w:lineRule="auto"/>
        <w:jc w:val="center"/>
        <w:rPr>
          <w:rFonts w:ascii="Times New Roman" w:hAnsi="Times New Roman"/>
          <w:szCs w:val="28"/>
        </w:rPr>
      </w:pPr>
      <w:r w:rsidRPr="00116F6D">
        <w:rPr>
          <w:rFonts w:ascii="Times New Roman" w:hAnsi="Times New Roman"/>
          <w:szCs w:val="28"/>
        </w:rPr>
        <w:t>WYJAŚNIENI</w:t>
      </w:r>
      <w:r w:rsidR="00520165" w:rsidRPr="00116F6D">
        <w:rPr>
          <w:rFonts w:ascii="Times New Roman" w:hAnsi="Times New Roman"/>
          <w:szCs w:val="28"/>
        </w:rPr>
        <w:t>A</w:t>
      </w:r>
      <w:r w:rsidR="00632C3C" w:rsidRPr="00116F6D">
        <w:rPr>
          <w:rFonts w:ascii="Times New Roman" w:hAnsi="Times New Roman"/>
          <w:szCs w:val="28"/>
        </w:rPr>
        <w:t xml:space="preserve"> TREŚCI</w:t>
      </w:r>
      <w:r w:rsidR="0029606A" w:rsidRPr="00116F6D">
        <w:rPr>
          <w:rFonts w:ascii="Times New Roman" w:hAnsi="Times New Roman"/>
          <w:szCs w:val="28"/>
        </w:rPr>
        <w:t xml:space="preserve"> SWZ</w:t>
      </w:r>
    </w:p>
    <w:p w14:paraId="667C2905" w14:textId="77777777" w:rsidR="006D4AB3" w:rsidRPr="00116F6D" w:rsidRDefault="00632C3C" w:rsidP="00520165">
      <w:pPr>
        <w:spacing w:after="360" w:line="276" w:lineRule="auto"/>
        <w:jc w:val="both"/>
        <w:rPr>
          <w:sz w:val="24"/>
          <w:szCs w:val="24"/>
        </w:rPr>
      </w:pPr>
      <w:r w:rsidRPr="00116F6D">
        <w:rPr>
          <w:sz w:val="24"/>
          <w:szCs w:val="24"/>
        </w:rPr>
        <w:t xml:space="preserve">Dotyczy: </w:t>
      </w:r>
      <w:r w:rsidR="006A5DF1" w:rsidRPr="00116F6D">
        <w:rPr>
          <w:sz w:val="24"/>
          <w:szCs w:val="24"/>
        </w:rPr>
        <w:t>p</w:t>
      </w:r>
      <w:r w:rsidRPr="00116F6D">
        <w:rPr>
          <w:sz w:val="24"/>
          <w:szCs w:val="24"/>
        </w:rPr>
        <w:t>ostępowani</w:t>
      </w:r>
      <w:r w:rsidR="006A5DF1" w:rsidRPr="00116F6D">
        <w:rPr>
          <w:sz w:val="24"/>
          <w:szCs w:val="24"/>
        </w:rPr>
        <w:t>a</w:t>
      </w:r>
      <w:r w:rsidRPr="00116F6D">
        <w:rPr>
          <w:sz w:val="24"/>
          <w:szCs w:val="24"/>
        </w:rPr>
        <w:t xml:space="preserve"> o udzielenie zamówienia publicznego, prowadzone</w:t>
      </w:r>
      <w:r w:rsidR="006A5DF1" w:rsidRPr="00116F6D">
        <w:rPr>
          <w:sz w:val="24"/>
          <w:szCs w:val="24"/>
        </w:rPr>
        <w:t>go</w:t>
      </w:r>
      <w:r w:rsidRPr="00116F6D">
        <w:rPr>
          <w:sz w:val="24"/>
          <w:szCs w:val="24"/>
        </w:rPr>
        <w:t xml:space="preserve"> w trybie </w:t>
      </w:r>
      <w:r w:rsidR="00C82664" w:rsidRPr="00116F6D">
        <w:rPr>
          <w:sz w:val="24"/>
          <w:szCs w:val="24"/>
        </w:rPr>
        <w:t>przetarg nieograniczony</w:t>
      </w:r>
      <w:r w:rsidRPr="00116F6D">
        <w:rPr>
          <w:b/>
          <w:sz w:val="24"/>
          <w:szCs w:val="24"/>
        </w:rPr>
        <w:t xml:space="preserve"> </w:t>
      </w:r>
      <w:r w:rsidRPr="00116F6D">
        <w:rPr>
          <w:bCs/>
          <w:sz w:val="24"/>
          <w:szCs w:val="24"/>
        </w:rPr>
        <w:t>na</w:t>
      </w:r>
      <w:r w:rsidRPr="00116F6D">
        <w:rPr>
          <w:b/>
          <w:sz w:val="24"/>
          <w:szCs w:val="24"/>
        </w:rPr>
        <w:t xml:space="preserve"> </w:t>
      </w:r>
      <w:r w:rsidR="00E72428" w:rsidRPr="00116F6D">
        <w:rPr>
          <w:bCs/>
          <w:sz w:val="24"/>
          <w:szCs w:val="24"/>
        </w:rPr>
        <w:t>”</w:t>
      </w:r>
      <w:r w:rsidR="00C82664" w:rsidRPr="00116F6D">
        <w:rPr>
          <w:b/>
          <w:bCs/>
          <w:sz w:val="24"/>
          <w:szCs w:val="24"/>
        </w:rPr>
        <w:t>Dostawa oprogramowania wraz z usługami wdrożenia, szkolenia i opieki serwisowej - Ujednolicenia systemów HIS i ERP oraz wdrożenie PACS/VNA w Szpitalu Wojewódzkim w Poznaniu.</w:t>
      </w:r>
      <w:r w:rsidR="00E72428" w:rsidRPr="00116F6D">
        <w:rPr>
          <w:bCs/>
          <w:sz w:val="24"/>
          <w:szCs w:val="24"/>
        </w:rPr>
        <w:t>”</w:t>
      </w:r>
      <w:r w:rsidRPr="00116F6D">
        <w:rPr>
          <w:b/>
          <w:sz w:val="24"/>
          <w:szCs w:val="24"/>
        </w:rPr>
        <w:t xml:space="preserve"> </w:t>
      </w:r>
      <w:r w:rsidRPr="00116F6D">
        <w:rPr>
          <w:bCs/>
          <w:sz w:val="24"/>
          <w:szCs w:val="24"/>
        </w:rPr>
        <w:t>– znak sprawy</w:t>
      </w:r>
      <w:r w:rsidRPr="00116F6D">
        <w:rPr>
          <w:b/>
          <w:sz w:val="24"/>
          <w:szCs w:val="24"/>
        </w:rPr>
        <w:t xml:space="preserve"> </w:t>
      </w:r>
      <w:r w:rsidR="00C82664" w:rsidRPr="00116F6D">
        <w:rPr>
          <w:b/>
          <w:sz w:val="24"/>
          <w:szCs w:val="24"/>
        </w:rPr>
        <w:t>SZW/DZP/75/2023</w:t>
      </w:r>
      <w:r w:rsidRPr="00116F6D">
        <w:rPr>
          <w:b/>
          <w:sz w:val="24"/>
          <w:szCs w:val="24"/>
        </w:rPr>
        <w:t>.</w:t>
      </w:r>
    </w:p>
    <w:p w14:paraId="443E8D31" w14:textId="77777777" w:rsidR="00C82664" w:rsidRPr="00116F6D" w:rsidRDefault="00520165" w:rsidP="00D8461B">
      <w:pPr>
        <w:spacing w:after="240" w:line="276" w:lineRule="auto"/>
        <w:jc w:val="both"/>
        <w:rPr>
          <w:b/>
          <w:sz w:val="24"/>
          <w:szCs w:val="24"/>
        </w:rPr>
      </w:pPr>
      <w:r w:rsidRPr="00116F6D">
        <w:rPr>
          <w:sz w:val="24"/>
          <w:szCs w:val="24"/>
        </w:rPr>
        <w:t xml:space="preserve">Zamawiający, </w:t>
      </w:r>
      <w:r w:rsidR="00C82664" w:rsidRPr="00116F6D">
        <w:rPr>
          <w:b/>
          <w:sz w:val="24"/>
          <w:szCs w:val="24"/>
        </w:rPr>
        <w:t>Szpital Wojewódzki w Poznaniu</w:t>
      </w:r>
    </w:p>
    <w:p w14:paraId="2EBB6B9E" w14:textId="77777777" w:rsidR="0012774F" w:rsidRPr="00116F6D" w:rsidRDefault="00C82664" w:rsidP="00D8461B">
      <w:pPr>
        <w:spacing w:after="240" w:line="276" w:lineRule="auto"/>
        <w:jc w:val="both"/>
        <w:rPr>
          <w:bCs/>
          <w:sz w:val="24"/>
          <w:szCs w:val="24"/>
          <w:lang w:eastAsia="ar-SA"/>
        </w:rPr>
      </w:pPr>
      <w:r w:rsidRPr="00116F6D">
        <w:rPr>
          <w:b/>
          <w:sz w:val="24"/>
          <w:szCs w:val="24"/>
        </w:rPr>
        <w:t>Dział Zamówień Publicznych</w:t>
      </w:r>
      <w:r w:rsidR="00520165" w:rsidRPr="00116F6D">
        <w:rPr>
          <w:sz w:val="24"/>
          <w:szCs w:val="24"/>
        </w:rPr>
        <w:t xml:space="preserve">, działając na podstawie art. </w:t>
      </w:r>
      <w:r w:rsidR="0029606A" w:rsidRPr="00116F6D">
        <w:rPr>
          <w:sz w:val="24"/>
          <w:szCs w:val="24"/>
        </w:rPr>
        <w:t>1</w:t>
      </w:r>
      <w:r w:rsidR="00520165" w:rsidRPr="00116F6D">
        <w:rPr>
          <w:sz w:val="24"/>
          <w:szCs w:val="24"/>
        </w:rPr>
        <w:t>3</w:t>
      </w:r>
      <w:r w:rsidR="0029606A" w:rsidRPr="00116F6D">
        <w:rPr>
          <w:sz w:val="24"/>
          <w:szCs w:val="24"/>
        </w:rPr>
        <w:t>5</w:t>
      </w:r>
      <w:r w:rsidR="00520165" w:rsidRPr="00116F6D">
        <w:rPr>
          <w:sz w:val="24"/>
          <w:szCs w:val="24"/>
        </w:rPr>
        <w:t xml:space="preserve"> ust</w:t>
      </w:r>
      <w:r w:rsidR="00D9049C" w:rsidRPr="00116F6D">
        <w:rPr>
          <w:sz w:val="24"/>
          <w:szCs w:val="24"/>
        </w:rPr>
        <w:t xml:space="preserve">. </w:t>
      </w:r>
      <w:r w:rsidR="0029606A" w:rsidRPr="00116F6D">
        <w:rPr>
          <w:sz w:val="24"/>
          <w:szCs w:val="24"/>
        </w:rPr>
        <w:t>6</w:t>
      </w:r>
      <w:r w:rsidR="00520165" w:rsidRPr="00116F6D">
        <w:rPr>
          <w:sz w:val="24"/>
          <w:szCs w:val="24"/>
        </w:rPr>
        <w:t xml:space="preserve"> ustawy z dnia </w:t>
      </w:r>
      <w:r w:rsidR="0029606A" w:rsidRPr="00116F6D">
        <w:rPr>
          <w:sz w:val="24"/>
          <w:szCs w:val="24"/>
        </w:rPr>
        <w:t>11</w:t>
      </w:r>
      <w:r w:rsidR="00520165" w:rsidRPr="00116F6D">
        <w:rPr>
          <w:sz w:val="24"/>
          <w:szCs w:val="24"/>
        </w:rPr>
        <w:t xml:space="preserve"> </w:t>
      </w:r>
      <w:r w:rsidR="0029606A" w:rsidRPr="00116F6D">
        <w:rPr>
          <w:sz w:val="24"/>
          <w:szCs w:val="24"/>
        </w:rPr>
        <w:t xml:space="preserve">września </w:t>
      </w:r>
      <w:r w:rsidR="00520165" w:rsidRPr="00116F6D">
        <w:rPr>
          <w:sz w:val="24"/>
          <w:szCs w:val="24"/>
        </w:rPr>
        <w:t>20</w:t>
      </w:r>
      <w:r w:rsidR="0029606A" w:rsidRPr="00116F6D">
        <w:rPr>
          <w:sz w:val="24"/>
          <w:szCs w:val="24"/>
        </w:rPr>
        <w:t>19</w:t>
      </w:r>
      <w:r w:rsidR="00520165" w:rsidRPr="00116F6D">
        <w:rPr>
          <w:sz w:val="24"/>
          <w:szCs w:val="24"/>
        </w:rPr>
        <w:t xml:space="preserve"> r</w:t>
      </w:r>
      <w:r w:rsidR="0029606A" w:rsidRPr="00116F6D">
        <w:rPr>
          <w:sz w:val="24"/>
          <w:szCs w:val="24"/>
        </w:rPr>
        <w:t>.</w:t>
      </w:r>
      <w:r w:rsidR="00520165" w:rsidRPr="00116F6D">
        <w:rPr>
          <w:sz w:val="24"/>
          <w:szCs w:val="24"/>
        </w:rPr>
        <w:t xml:space="preserve"> Prawo </w:t>
      </w:r>
      <w:r w:rsidR="0029606A" w:rsidRPr="00116F6D">
        <w:rPr>
          <w:sz w:val="24"/>
          <w:szCs w:val="24"/>
        </w:rPr>
        <w:t>z</w:t>
      </w:r>
      <w:r w:rsidR="00520165" w:rsidRPr="00116F6D">
        <w:rPr>
          <w:sz w:val="24"/>
          <w:szCs w:val="24"/>
        </w:rPr>
        <w:t xml:space="preserve">amówień </w:t>
      </w:r>
      <w:r w:rsidR="0029606A" w:rsidRPr="00116F6D">
        <w:rPr>
          <w:sz w:val="24"/>
          <w:szCs w:val="24"/>
        </w:rPr>
        <w:t>p</w:t>
      </w:r>
      <w:r w:rsidR="00520165" w:rsidRPr="00116F6D">
        <w:rPr>
          <w:sz w:val="24"/>
          <w:szCs w:val="24"/>
        </w:rPr>
        <w:t xml:space="preserve">ublicznych </w:t>
      </w:r>
      <w:r w:rsidRPr="00116F6D">
        <w:rPr>
          <w:sz w:val="24"/>
          <w:szCs w:val="24"/>
        </w:rPr>
        <w:t>(</w:t>
      </w:r>
      <w:proofErr w:type="spellStart"/>
      <w:r w:rsidRPr="00116F6D">
        <w:rPr>
          <w:sz w:val="24"/>
          <w:szCs w:val="24"/>
        </w:rPr>
        <w:t>t.j</w:t>
      </w:r>
      <w:proofErr w:type="spellEnd"/>
      <w:r w:rsidRPr="00116F6D">
        <w:rPr>
          <w:sz w:val="24"/>
          <w:szCs w:val="24"/>
        </w:rPr>
        <w:t>. Dz. U. z 2022r. poz. 1710)</w:t>
      </w:r>
      <w:r w:rsidR="00BE7BFD" w:rsidRPr="00116F6D">
        <w:rPr>
          <w:sz w:val="24"/>
          <w:szCs w:val="24"/>
        </w:rPr>
        <w:t xml:space="preserve">, </w:t>
      </w:r>
      <w:r w:rsidR="00D9049C" w:rsidRPr="00116F6D">
        <w:rPr>
          <w:sz w:val="24"/>
          <w:szCs w:val="24"/>
        </w:rPr>
        <w:t>udostępnia</w:t>
      </w:r>
      <w:r w:rsidR="00BE7BFD" w:rsidRPr="00116F6D">
        <w:rPr>
          <w:sz w:val="24"/>
          <w:szCs w:val="24"/>
        </w:rPr>
        <w:t xml:space="preserve"> poniżej treść zapytań do S</w:t>
      </w:r>
      <w:r w:rsidR="0012774F" w:rsidRPr="00116F6D">
        <w:rPr>
          <w:sz w:val="24"/>
          <w:szCs w:val="24"/>
        </w:rPr>
        <w:t>pecyfikacji Warunków Zamówienia (</w:t>
      </w:r>
      <w:r w:rsidR="0012774F" w:rsidRPr="00116F6D">
        <w:rPr>
          <w:sz w:val="24"/>
          <w:szCs w:val="24"/>
          <w:lang w:eastAsia="ar-SA"/>
        </w:rPr>
        <w:t>zwanej dalej</w:t>
      </w:r>
      <w:r w:rsidR="0012774F" w:rsidRPr="00116F6D">
        <w:rPr>
          <w:b/>
          <w:sz w:val="24"/>
          <w:szCs w:val="24"/>
          <w:lang w:eastAsia="ar-SA"/>
        </w:rPr>
        <w:t xml:space="preserve"> </w:t>
      </w:r>
      <w:r w:rsidR="0012774F" w:rsidRPr="00116F6D">
        <w:rPr>
          <w:bCs/>
          <w:sz w:val="24"/>
          <w:szCs w:val="24"/>
          <w:lang w:eastAsia="ar-SA"/>
        </w:rPr>
        <w:t>”SWZ”)</w:t>
      </w:r>
      <w:r w:rsidR="00D9049C" w:rsidRPr="00116F6D">
        <w:rPr>
          <w:bCs/>
          <w:sz w:val="24"/>
          <w:szCs w:val="24"/>
          <w:lang w:eastAsia="ar-SA"/>
        </w:rPr>
        <w:t xml:space="preserve"> </w:t>
      </w:r>
      <w:r w:rsidR="00D9049C" w:rsidRPr="00116F6D">
        <w:rPr>
          <w:sz w:val="24"/>
          <w:szCs w:val="24"/>
        </w:rPr>
        <w:t>wraz z wyjaśnieniami</w:t>
      </w:r>
      <w:r w:rsidR="0012774F" w:rsidRPr="00116F6D">
        <w:rPr>
          <w:bCs/>
          <w:sz w:val="24"/>
          <w:szCs w:val="24"/>
          <w:lang w:eastAsia="ar-SA"/>
        </w:rPr>
        <w:t>:</w:t>
      </w:r>
    </w:p>
    <w:p w14:paraId="4A5DB633" w14:textId="77777777" w:rsidR="00D86FA5" w:rsidRPr="00D86FA5" w:rsidRDefault="007B0F45" w:rsidP="00D86FA5">
      <w:pPr>
        <w:spacing w:before="120" w:after="120"/>
        <w:rPr>
          <w:sz w:val="22"/>
          <w:szCs w:val="22"/>
        </w:rPr>
      </w:pPr>
      <w:bookmarkStart w:id="0" w:name="_Hlk142644832"/>
      <w:r w:rsidRPr="00D86FA5">
        <w:rPr>
          <w:b/>
          <w:bCs/>
          <w:sz w:val="22"/>
          <w:szCs w:val="22"/>
        </w:rPr>
        <w:t>Pytanie nr 1</w:t>
      </w:r>
      <w:r w:rsidRPr="00D86FA5">
        <w:rPr>
          <w:b/>
          <w:bCs/>
          <w:sz w:val="22"/>
          <w:szCs w:val="22"/>
        </w:rPr>
        <w:br/>
      </w:r>
      <w:r w:rsidR="00D86FA5" w:rsidRPr="00D86FA5">
        <w:rPr>
          <w:sz w:val="22"/>
          <w:szCs w:val="22"/>
        </w:rPr>
        <w:t xml:space="preserve">Wyjaśnienia z dnia 31.07.2023 - odp. na Pytanie 2: System musi umożliwiać odbiór danych z następujących urządzeń́ medycznych, przekazujących dane bezpośrednio do systemu HIS: </w:t>
      </w:r>
    </w:p>
    <w:p w14:paraId="08239879" w14:textId="77777777" w:rsidR="00D86FA5" w:rsidRPr="00D86FA5" w:rsidRDefault="00D86FA5" w:rsidP="00D86FA5">
      <w:pPr>
        <w:numPr>
          <w:ilvl w:val="0"/>
          <w:numId w:val="9"/>
        </w:numPr>
        <w:jc w:val="both"/>
        <w:rPr>
          <w:sz w:val="22"/>
          <w:szCs w:val="22"/>
        </w:rPr>
      </w:pPr>
      <w:r w:rsidRPr="00D86FA5">
        <w:rPr>
          <w:sz w:val="22"/>
          <w:szCs w:val="22"/>
        </w:rPr>
        <w:t xml:space="preserve">Urządzenie A </w:t>
      </w:r>
    </w:p>
    <w:p w14:paraId="589D1A8B" w14:textId="77777777" w:rsidR="00D86FA5" w:rsidRPr="00D86FA5" w:rsidRDefault="00D86FA5" w:rsidP="00D86FA5">
      <w:pPr>
        <w:numPr>
          <w:ilvl w:val="0"/>
          <w:numId w:val="9"/>
        </w:numPr>
        <w:jc w:val="both"/>
        <w:rPr>
          <w:sz w:val="22"/>
          <w:szCs w:val="22"/>
        </w:rPr>
      </w:pPr>
      <w:r w:rsidRPr="00D86FA5">
        <w:rPr>
          <w:sz w:val="22"/>
          <w:szCs w:val="22"/>
        </w:rPr>
        <w:t xml:space="preserve">Urządzenie B.... </w:t>
      </w:r>
    </w:p>
    <w:p w14:paraId="1E10365E" w14:textId="77777777" w:rsidR="00D86FA5" w:rsidRPr="00D86FA5" w:rsidRDefault="00D86FA5" w:rsidP="00D86FA5">
      <w:pPr>
        <w:jc w:val="both"/>
        <w:rPr>
          <w:sz w:val="22"/>
          <w:szCs w:val="22"/>
        </w:rPr>
      </w:pPr>
      <w:r w:rsidRPr="00D86FA5">
        <w:rPr>
          <w:sz w:val="22"/>
          <w:szCs w:val="22"/>
        </w:rPr>
        <w:t xml:space="preserve">Pytanie: Prosimy o informację jakie urządzenia Zamawiający ma na myśli? Czy chodzi o możliwość podłączenia konkretnych urządzeń w których Zamawiający jest w posiadaniu? Jeśli tak prosimy o przekazanie listy wszystkich urządzeń medycznych podlegających integracji (z informacją o modelu oraz producencie) wraz z informacją o tym czy posiadają one możliwość takiego połączenia. </w:t>
      </w:r>
    </w:p>
    <w:p w14:paraId="6F026EE4" w14:textId="77777777" w:rsidR="00D86FA5" w:rsidRPr="00D86FA5" w:rsidRDefault="00D86FA5" w:rsidP="00D86FA5">
      <w:pPr>
        <w:jc w:val="both"/>
        <w:rPr>
          <w:sz w:val="22"/>
          <w:szCs w:val="22"/>
        </w:rPr>
      </w:pPr>
      <w:r w:rsidRPr="00D86FA5">
        <w:rPr>
          <w:sz w:val="22"/>
          <w:szCs w:val="22"/>
        </w:rPr>
        <w:t>OPD: Zgodnie ze zmodyfikowanym OPZ.</w:t>
      </w:r>
    </w:p>
    <w:p w14:paraId="4B650A40" w14:textId="77777777" w:rsidR="00D86FA5" w:rsidRPr="00D86FA5" w:rsidRDefault="00D86FA5" w:rsidP="00D86FA5">
      <w:pPr>
        <w:jc w:val="both"/>
        <w:rPr>
          <w:b/>
          <w:bCs/>
          <w:sz w:val="22"/>
          <w:szCs w:val="22"/>
        </w:rPr>
      </w:pPr>
      <w:r w:rsidRPr="00D86FA5">
        <w:rPr>
          <w:b/>
          <w:bCs/>
          <w:sz w:val="22"/>
          <w:szCs w:val="22"/>
        </w:rPr>
        <w:t>Ponieważ OPZ nie zawiera w przedmiotowej kwestii żadnych zmian – nadal brak jest w nim urządzeń przekazujących dane do HIS, prosimy o uzupełnienie OPZ o ich wykaz. Pytający przypomina, że były one wykazane w poprzedniej edycji postępowania a wyjaśnieniach zamawiającego jest także drugie pytanie o to samo nie zawierające realnej odpowiedzi „Pytanie nr 4. Dotyczy Załącznik nr 2 Opis przedmiotu zamówienia. Prosimy o podanie listy urządzeń które mają zostać podłączone do systemu PACS w przypadku jego wymiany. ODP: Zgodnie z pytaniem”.</w:t>
      </w:r>
    </w:p>
    <w:p w14:paraId="77D75C44" w14:textId="790139D5" w:rsidR="00BA4867" w:rsidRPr="00BA4867" w:rsidRDefault="00BA4867" w:rsidP="00BA4867">
      <w:pPr>
        <w:jc w:val="both"/>
        <w:rPr>
          <w:rFonts w:asciiTheme="minorHAnsi" w:eastAsiaTheme="minorHAnsi" w:hAnsiTheme="minorHAnsi" w:cstheme="minorHAnsi"/>
          <w:b/>
          <w:bCs/>
          <w:u w:val="single"/>
          <w:lang w:eastAsia="en-US"/>
        </w:rPr>
      </w:pPr>
      <w:r>
        <w:rPr>
          <w:b/>
          <w:bCs/>
          <w:sz w:val="22"/>
          <w:szCs w:val="22"/>
        </w:rPr>
        <w:br/>
      </w:r>
      <w:r w:rsidRPr="00BA4867">
        <w:rPr>
          <w:rFonts w:asciiTheme="minorHAnsi" w:eastAsiaTheme="minorHAnsi" w:hAnsiTheme="minorHAnsi" w:cstheme="minorHAnsi"/>
          <w:b/>
          <w:bCs/>
          <w:sz w:val="22"/>
          <w:szCs w:val="22"/>
          <w:u w:val="single"/>
          <w:lang w:eastAsia="en-US"/>
        </w:rPr>
        <w:t>Odpowiedź Zamawiającego w zakresie integracji urządzeń do systemu PACS/VNA</w:t>
      </w:r>
    </w:p>
    <w:p w14:paraId="1BFB95B7"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p>
    <w:tbl>
      <w:tblPr>
        <w:tblW w:w="10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7"/>
        <w:gridCol w:w="2106"/>
        <w:gridCol w:w="1417"/>
        <w:gridCol w:w="1256"/>
        <w:gridCol w:w="1069"/>
        <w:gridCol w:w="2260"/>
        <w:gridCol w:w="1653"/>
      </w:tblGrid>
      <w:tr w:rsidR="00BA4867" w:rsidRPr="00BA4867" w14:paraId="20937268" w14:textId="77777777" w:rsidTr="00ED2950">
        <w:trPr>
          <w:trHeight w:val="315"/>
        </w:trPr>
        <w:tc>
          <w:tcPr>
            <w:tcW w:w="577" w:type="dxa"/>
            <w:shd w:val="clear" w:color="auto" w:fill="D9D9D9"/>
            <w:vAlign w:val="center"/>
            <w:hideMark/>
          </w:tcPr>
          <w:p w14:paraId="1DAB4E72"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Lp.</w:t>
            </w:r>
          </w:p>
        </w:tc>
        <w:tc>
          <w:tcPr>
            <w:tcW w:w="2106" w:type="dxa"/>
            <w:shd w:val="clear" w:color="auto" w:fill="D9D9D9"/>
            <w:vAlign w:val="center"/>
            <w:hideMark/>
          </w:tcPr>
          <w:p w14:paraId="4FED3165"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Nazwa</w:t>
            </w:r>
          </w:p>
        </w:tc>
        <w:tc>
          <w:tcPr>
            <w:tcW w:w="1417" w:type="dxa"/>
            <w:shd w:val="clear" w:color="auto" w:fill="D9D9D9"/>
            <w:vAlign w:val="center"/>
            <w:hideMark/>
          </w:tcPr>
          <w:p w14:paraId="598CE28E"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 xml:space="preserve">Typ </w:t>
            </w:r>
          </w:p>
        </w:tc>
        <w:tc>
          <w:tcPr>
            <w:tcW w:w="1256" w:type="dxa"/>
            <w:shd w:val="clear" w:color="auto" w:fill="D9D9D9"/>
            <w:vAlign w:val="center"/>
            <w:hideMark/>
          </w:tcPr>
          <w:p w14:paraId="0CDC4CE3"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Producent</w:t>
            </w:r>
          </w:p>
        </w:tc>
        <w:tc>
          <w:tcPr>
            <w:tcW w:w="1069" w:type="dxa"/>
            <w:shd w:val="clear" w:color="auto" w:fill="D9D9D9"/>
            <w:vAlign w:val="center"/>
            <w:hideMark/>
          </w:tcPr>
          <w:p w14:paraId="7A7E5822"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Rok produkcji</w:t>
            </w:r>
          </w:p>
        </w:tc>
        <w:tc>
          <w:tcPr>
            <w:tcW w:w="2260" w:type="dxa"/>
            <w:shd w:val="clear" w:color="auto" w:fill="D9D9D9"/>
            <w:vAlign w:val="center"/>
            <w:hideMark/>
          </w:tcPr>
          <w:p w14:paraId="5C080EFB"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Nr seryjny</w:t>
            </w:r>
          </w:p>
        </w:tc>
        <w:tc>
          <w:tcPr>
            <w:tcW w:w="1653" w:type="dxa"/>
            <w:shd w:val="clear" w:color="auto" w:fill="D9D9D9"/>
            <w:vAlign w:val="center"/>
            <w:hideMark/>
          </w:tcPr>
          <w:p w14:paraId="3C338C20" w14:textId="77777777" w:rsidR="00BA4867" w:rsidRPr="00BA4867" w:rsidRDefault="00BA4867" w:rsidP="00BA4867">
            <w:pPr>
              <w:spacing w:line="276" w:lineRule="auto"/>
              <w:ind w:left="57" w:right="57"/>
              <w:rPr>
                <w:rFonts w:ascii="Garamond" w:eastAsiaTheme="minorHAnsi" w:hAnsi="Garamond" w:cstheme="minorBidi"/>
                <w:bCs/>
                <w:sz w:val="22"/>
                <w:szCs w:val="22"/>
                <w:lang w:eastAsia="en-US"/>
              </w:rPr>
            </w:pPr>
            <w:r w:rsidRPr="00BA4867">
              <w:rPr>
                <w:rFonts w:ascii="Garamond" w:eastAsiaTheme="minorHAnsi" w:hAnsi="Garamond" w:cstheme="minorBidi"/>
                <w:bCs/>
                <w:sz w:val="22"/>
                <w:szCs w:val="22"/>
                <w:lang w:eastAsia="en-US"/>
              </w:rPr>
              <w:t xml:space="preserve">Oddział </w:t>
            </w:r>
          </w:p>
        </w:tc>
      </w:tr>
      <w:tr w:rsidR="00BA4867" w:rsidRPr="00BA4867" w14:paraId="18C094CB" w14:textId="77777777" w:rsidTr="00ED2950">
        <w:trPr>
          <w:trHeight w:val="984"/>
        </w:trPr>
        <w:tc>
          <w:tcPr>
            <w:tcW w:w="577" w:type="dxa"/>
            <w:noWrap/>
            <w:vAlign w:val="bottom"/>
            <w:hideMark/>
          </w:tcPr>
          <w:p w14:paraId="5398BDE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lastRenderedPageBreak/>
              <w:t>1</w:t>
            </w:r>
          </w:p>
        </w:tc>
        <w:tc>
          <w:tcPr>
            <w:tcW w:w="2106" w:type="dxa"/>
            <w:noWrap/>
            <w:vAlign w:val="bottom"/>
            <w:hideMark/>
          </w:tcPr>
          <w:p w14:paraId="25B9EA4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Aparat angiograficzny</w:t>
            </w:r>
          </w:p>
        </w:tc>
        <w:tc>
          <w:tcPr>
            <w:tcW w:w="1417" w:type="dxa"/>
            <w:vAlign w:val="bottom"/>
            <w:hideMark/>
          </w:tcPr>
          <w:p w14:paraId="685DC22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Allura</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Centron</w:t>
            </w:r>
            <w:proofErr w:type="spellEnd"/>
          </w:p>
        </w:tc>
        <w:tc>
          <w:tcPr>
            <w:tcW w:w="1256" w:type="dxa"/>
            <w:vAlign w:val="bottom"/>
            <w:hideMark/>
          </w:tcPr>
          <w:p w14:paraId="6FEEC8A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Philips Medical Systems USA</w:t>
            </w:r>
          </w:p>
        </w:tc>
        <w:tc>
          <w:tcPr>
            <w:tcW w:w="1069" w:type="dxa"/>
            <w:vAlign w:val="bottom"/>
            <w:hideMark/>
          </w:tcPr>
          <w:p w14:paraId="3695ABF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2015</w:t>
            </w:r>
          </w:p>
        </w:tc>
        <w:tc>
          <w:tcPr>
            <w:tcW w:w="2260" w:type="dxa"/>
            <w:vAlign w:val="bottom"/>
            <w:hideMark/>
          </w:tcPr>
          <w:p w14:paraId="26F37DE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722400 </w:t>
            </w:r>
          </w:p>
        </w:tc>
        <w:tc>
          <w:tcPr>
            <w:tcW w:w="1653" w:type="dxa"/>
            <w:vAlign w:val="bottom"/>
            <w:hideMark/>
          </w:tcPr>
          <w:p w14:paraId="66319F7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Pracownia Kardiologii Inwazyjnej</w:t>
            </w:r>
          </w:p>
        </w:tc>
      </w:tr>
      <w:tr w:rsidR="00BA4867" w:rsidRPr="00BA4867" w14:paraId="1CED9153" w14:textId="77777777" w:rsidTr="00ED2950">
        <w:trPr>
          <w:trHeight w:val="915"/>
        </w:trPr>
        <w:tc>
          <w:tcPr>
            <w:tcW w:w="577" w:type="dxa"/>
            <w:noWrap/>
            <w:vAlign w:val="bottom"/>
            <w:hideMark/>
          </w:tcPr>
          <w:p w14:paraId="2F18F86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w:t>
            </w:r>
          </w:p>
        </w:tc>
        <w:tc>
          <w:tcPr>
            <w:tcW w:w="2106" w:type="dxa"/>
            <w:noWrap/>
            <w:vAlign w:val="bottom"/>
            <w:hideMark/>
          </w:tcPr>
          <w:p w14:paraId="6BFF4EC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Aparat angiograficzny</w:t>
            </w:r>
          </w:p>
        </w:tc>
        <w:tc>
          <w:tcPr>
            <w:tcW w:w="1417" w:type="dxa"/>
            <w:vAlign w:val="bottom"/>
            <w:hideMark/>
          </w:tcPr>
          <w:p w14:paraId="3C7E18B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Artis </w:t>
            </w:r>
            <w:proofErr w:type="spellStart"/>
            <w:r w:rsidRPr="00BA4867">
              <w:rPr>
                <w:rFonts w:ascii="Garamond" w:eastAsiaTheme="minorHAnsi" w:hAnsi="Garamond" w:cstheme="minorBidi"/>
                <w:sz w:val="22"/>
                <w:szCs w:val="22"/>
                <w:lang w:eastAsia="en-US"/>
              </w:rPr>
              <w:t>zee</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floor</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ecco</w:t>
            </w:r>
            <w:proofErr w:type="spellEnd"/>
          </w:p>
        </w:tc>
        <w:tc>
          <w:tcPr>
            <w:tcW w:w="1256" w:type="dxa"/>
            <w:vAlign w:val="bottom"/>
            <w:hideMark/>
          </w:tcPr>
          <w:p w14:paraId="4C85DD1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467FD4A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2012</w:t>
            </w:r>
          </w:p>
        </w:tc>
        <w:tc>
          <w:tcPr>
            <w:tcW w:w="2260" w:type="dxa"/>
            <w:vAlign w:val="bottom"/>
            <w:hideMark/>
          </w:tcPr>
          <w:p w14:paraId="310E234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136993</w:t>
            </w:r>
          </w:p>
        </w:tc>
        <w:tc>
          <w:tcPr>
            <w:tcW w:w="1653" w:type="dxa"/>
            <w:vAlign w:val="bottom"/>
            <w:hideMark/>
          </w:tcPr>
          <w:p w14:paraId="066CF48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Pracownia Kardiologii Inwazyjnej</w:t>
            </w:r>
          </w:p>
        </w:tc>
      </w:tr>
      <w:tr w:rsidR="00BA4867" w:rsidRPr="00BA4867" w14:paraId="75127907" w14:textId="77777777" w:rsidTr="00ED2950">
        <w:trPr>
          <w:trHeight w:val="615"/>
        </w:trPr>
        <w:tc>
          <w:tcPr>
            <w:tcW w:w="577" w:type="dxa"/>
            <w:noWrap/>
            <w:vAlign w:val="bottom"/>
            <w:hideMark/>
          </w:tcPr>
          <w:p w14:paraId="60ECCC0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w:t>
            </w:r>
          </w:p>
        </w:tc>
        <w:tc>
          <w:tcPr>
            <w:tcW w:w="2106" w:type="dxa"/>
            <w:noWrap/>
            <w:vAlign w:val="bottom"/>
            <w:hideMark/>
          </w:tcPr>
          <w:p w14:paraId="775D2A0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4C22FCF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Axion</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Iconos</w:t>
            </w:r>
            <w:proofErr w:type="spellEnd"/>
            <w:r w:rsidRPr="00BA4867">
              <w:rPr>
                <w:rFonts w:ascii="Garamond" w:eastAsiaTheme="minorHAnsi" w:hAnsi="Garamond" w:cstheme="minorBidi"/>
                <w:sz w:val="22"/>
                <w:szCs w:val="22"/>
                <w:lang w:eastAsia="en-US"/>
              </w:rPr>
              <w:t xml:space="preserve"> MD</w:t>
            </w:r>
          </w:p>
        </w:tc>
        <w:tc>
          <w:tcPr>
            <w:tcW w:w="1256" w:type="dxa"/>
            <w:vAlign w:val="bottom"/>
            <w:hideMark/>
          </w:tcPr>
          <w:p w14:paraId="754EFA5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71E817A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2005</w:t>
            </w:r>
          </w:p>
        </w:tc>
        <w:tc>
          <w:tcPr>
            <w:tcW w:w="2260" w:type="dxa"/>
            <w:vAlign w:val="bottom"/>
            <w:hideMark/>
          </w:tcPr>
          <w:p w14:paraId="6FDF64E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11030</w:t>
            </w:r>
          </w:p>
        </w:tc>
        <w:tc>
          <w:tcPr>
            <w:tcW w:w="1653" w:type="dxa"/>
            <w:vAlign w:val="bottom"/>
            <w:hideMark/>
          </w:tcPr>
          <w:p w14:paraId="682F2E5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7F368A25" w14:textId="77777777" w:rsidTr="00ED2950">
        <w:trPr>
          <w:trHeight w:val="615"/>
        </w:trPr>
        <w:tc>
          <w:tcPr>
            <w:tcW w:w="577" w:type="dxa"/>
            <w:noWrap/>
            <w:vAlign w:val="bottom"/>
            <w:hideMark/>
          </w:tcPr>
          <w:p w14:paraId="60B9FA2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4</w:t>
            </w:r>
          </w:p>
        </w:tc>
        <w:tc>
          <w:tcPr>
            <w:tcW w:w="2106" w:type="dxa"/>
            <w:noWrap/>
            <w:vAlign w:val="bottom"/>
            <w:hideMark/>
          </w:tcPr>
          <w:p w14:paraId="59BF7B4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21E8E7A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DRX Ascend</w:t>
            </w:r>
          </w:p>
        </w:tc>
        <w:tc>
          <w:tcPr>
            <w:tcW w:w="1256" w:type="dxa"/>
            <w:vAlign w:val="bottom"/>
            <w:hideMark/>
          </w:tcPr>
          <w:p w14:paraId="7F0AABA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Carestream</w:t>
            </w:r>
            <w:proofErr w:type="spellEnd"/>
            <w:r w:rsidRPr="00BA4867">
              <w:rPr>
                <w:rFonts w:ascii="Garamond" w:eastAsiaTheme="minorHAnsi" w:hAnsi="Garamond" w:cstheme="minorBidi"/>
                <w:sz w:val="22"/>
                <w:szCs w:val="22"/>
                <w:lang w:eastAsia="en-US"/>
              </w:rPr>
              <w:t xml:space="preserve"> Health Inc.</w:t>
            </w:r>
          </w:p>
        </w:tc>
        <w:tc>
          <w:tcPr>
            <w:tcW w:w="1069" w:type="dxa"/>
            <w:vAlign w:val="bottom"/>
            <w:hideMark/>
          </w:tcPr>
          <w:p w14:paraId="57673CC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2016</w:t>
            </w:r>
          </w:p>
        </w:tc>
        <w:tc>
          <w:tcPr>
            <w:tcW w:w="2260" w:type="dxa"/>
            <w:vAlign w:val="bottom"/>
            <w:hideMark/>
          </w:tcPr>
          <w:p w14:paraId="2E93200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QRAD-16R-1049</w:t>
            </w:r>
          </w:p>
        </w:tc>
        <w:tc>
          <w:tcPr>
            <w:tcW w:w="1653" w:type="dxa"/>
            <w:vAlign w:val="bottom"/>
            <w:hideMark/>
          </w:tcPr>
          <w:p w14:paraId="5D401A1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03C347C4" w14:textId="77777777" w:rsidTr="00ED2950">
        <w:trPr>
          <w:trHeight w:val="615"/>
        </w:trPr>
        <w:tc>
          <w:tcPr>
            <w:tcW w:w="577" w:type="dxa"/>
            <w:noWrap/>
            <w:vAlign w:val="bottom"/>
            <w:hideMark/>
          </w:tcPr>
          <w:p w14:paraId="6A5EB5C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w:t>
            </w:r>
          </w:p>
        </w:tc>
        <w:tc>
          <w:tcPr>
            <w:tcW w:w="2106" w:type="dxa"/>
            <w:noWrap/>
            <w:vAlign w:val="bottom"/>
            <w:hideMark/>
          </w:tcPr>
          <w:p w14:paraId="4E71B68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7B73CA8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DX-D100+</w:t>
            </w:r>
          </w:p>
        </w:tc>
        <w:tc>
          <w:tcPr>
            <w:tcW w:w="1256" w:type="dxa"/>
            <w:vAlign w:val="bottom"/>
            <w:hideMark/>
          </w:tcPr>
          <w:p w14:paraId="242CADE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AGFA  Sp. z o.o.</w:t>
            </w:r>
          </w:p>
        </w:tc>
        <w:tc>
          <w:tcPr>
            <w:tcW w:w="1069" w:type="dxa"/>
            <w:vAlign w:val="bottom"/>
            <w:hideMark/>
          </w:tcPr>
          <w:p w14:paraId="611928B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2017</w:t>
            </w:r>
          </w:p>
        </w:tc>
        <w:tc>
          <w:tcPr>
            <w:tcW w:w="2260" w:type="dxa"/>
            <w:vAlign w:val="bottom"/>
            <w:hideMark/>
          </w:tcPr>
          <w:p w14:paraId="1D3B3F6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A5411003113</w:t>
            </w:r>
          </w:p>
        </w:tc>
        <w:tc>
          <w:tcPr>
            <w:tcW w:w="1653" w:type="dxa"/>
            <w:vAlign w:val="bottom"/>
            <w:hideMark/>
          </w:tcPr>
          <w:p w14:paraId="04FD481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Noworodków</w:t>
            </w:r>
          </w:p>
        </w:tc>
      </w:tr>
      <w:tr w:rsidR="00BA4867" w:rsidRPr="00BA4867" w14:paraId="3A32B9D5" w14:textId="77777777" w:rsidTr="00ED2950">
        <w:trPr>
          <w:trHeight w:val="915"/>
        </w:trPr>
        <w:tc>
          <w:tcPr>
            <w:tcW w:w="577" w:type="dxa"/>
            <w:noWrap/>
            <w:vAlign w:val="bottom"/>
            <w:hideMark/>
          </w:tcPr>
          <w:p w14:paraId="75A4E08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6</w:t>
            </w:r>
          </w:p>
        </w:tc>
        <w:tc>
          <w:tcPr>
            <w:tcW w:w="2106" w:type="dxa"/>
            <w:noWrap/>
            <w:vAlign w:val="bottom"/>
            <w:hideMark/>
          </w:tcPr>
          <w:p w14:paraId="514668F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1535C85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Mobilett</w:t>
            </w:r>
            <w:proofErr w:type="spellEnd"/>
            <w:r w:rsidRPr="00BA4867">
              <w:rPr>
                <w:rFonts w:ascii="Garamond" w:eastAsiaTheme="minorHAnsi" w:hAnsi="Garamond" w:cstheme="minorBidi"/>
                <w:sz w:val="22"/>
                <w:szCs w:val="22"/>
                <w:lang w:eastAsia="en-US"/>
              </w:rPr>
              <w:t xml:space="preserve"> Mira Max</w:t>
            </w:r>
          </w:p>
        </w:tc>
        <w:tc>
          <w:tcPr>
            <w:tcW w:w="1256" w:type="dxa"/>
            <w:vAlign w:val="bottom"/>
            <w:hideMark/>
          </w:tcPr>
          <w:p w14:paraId="4B5367B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59BE43C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2017</w:t>
            </w:r>
          </w:p>
        </w:tc>
        <w:tc>
          <w:tcPr>
            <w:tcW w:w="2260" w:type="dxa"/>
            <w:vAlign w:val="bottom"/>
            <w:hideMark/>
          </w:tcPr>
          <w:p w14:paraId="733AE58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3080</w:t>
            </w:r>
          </w:p>
        </w:tc>
        <w:tc>
          <w:tcPr>
            <w:tcW w:w="1653" w:type="dxa"/>
            <w:vAlign w:val="bottom"/>
            <w:hideMark/>
          </w:tcPr>
          <w:p w14:paraId="3584941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6D757A18" w14:textId="77777777" w:rsidTr="00ED2950">
        <w:trPr>
          <w:trHeight w:val="615"/>
        </w:trPr>
        <w:tc>
          <w:tcPr>
            <w:tcW w:w="577" w:type="dxa"/>
            <w:noWrap/>
            <w:vAlign w:val="bottom"/>
            <w:hideMark/>
          </w:tcPr>
          <w:p w14:paraId="470FFB0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7</w:t>
            </w:r>
          </w:p>
        </w:tc>
        <w:tc>
          <w:tcPr>
            <w:tcW w:w="2106" w:type="dxa"/>
            <w:noWrap/>
            <w:vAlign w:val="bottom"/>
            <w:hideMark/>
          </w:tcPr>
          <w:p w14:paraId="4B1EA69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71E9E7A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Multix</w:t>
            </w:r>
            <w:proofErr w:type="spellEnd"/>
            <w:r w:rsidRPr="00BA4867">
              <w:rPr>
                <w:rFonts w:ascii="Garamond" w:eastAsiaTheme="minorHAnsi" w:hAnsi="Garamond" w:cstheme="minorBidi"/>
                <w:sz w:val="22"/>
                <w:szCs w:val="22"/>
                <w:lang w:eastAsia="en-US"/>
              </w:rPr>
              <w:t xml:space="preserve"> Top AS SS</w:t>
            </w:r>
          </w:p>
        </w:tc>
        <w:tc>
          <w:tcPr>
            <w:tcW w:w="1256" w:type="dxa"/>
            <w:vAlign w:val="bottom"/>
            <w:hideMark/>
          </w:tcPr>
          <w:p w14:paraId="356850E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7DF55F8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2010</w:t>
            </w:r>
          </w:p>
        </w:tc>
        <w:tc>
          <w:tcPr>
            <w:tcW w:w="2260" w:type="dxa"/>
            <w:vAlign w:val="bottom"/>
            <w:hideMark/>
          </w:tcPr>
          <w:p w14:paraId="495F7AB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2952</w:t>
            </w:r>
          </w:p>
        </w:tc>
        <w:tc>
          <w:tcPr>
            <w:tcW w:w="1653" w:type="dxa"/>
            <w:vAlign w:val="bottom"/>
            <w:hideMark/>
          </w:tcPr>
          <w:p w14:paraId="6EF2A37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57DC3D13" w14:textId="77777777" w:rsidTr="00ED2950">
        <w:trPr>
          <w:trHeight w:val="915"/>
        </w:trPr>
        <w:tc>
          <w:tcPr>
            <w:tcW w:w="577" w:type="dxa"/>
            <w:noWrap/>
            <w:vAlign w:val="bottom"/>
            <w:hideMark/>
          </w:tcPr>
          <w:p w14:paraId="4ED9ECB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8</w:t>
            </w:r>
          </w:p>
        </w:tc>
        <w:tc>
          <w:tcPr>
            <w:tcW w:w="2106" w:type="dxa"/>
            <w:noWrap/>
            <w:vAlign w:val="bottom"/>
            <w:hideMark/>
          </w:tcPr>
          <w:p w14:paraId="195B2E6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p>
        </w:tc>
        <w:tc>
          <w:tcPr>
            <w:tcW w:w="1417" w:type="dxa"/>
            <w:vAlign w:val="bottom"/>
            <w:hideMark/>
          </w:tcPr>
          <w:p w14:paraId="5A0F096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TMS300</w:t>
            </w:r>
          </w:p>
        </w:tc>
        <w:tc>
          <w:tcPr>
            <w:tcW w:w="1256" w:type="dxa"/>
            <w:vAlign w:val="bottom"/>
            <w:hideMark/>
          </w:tcPr>
          <w:p w14:paraId="0DE920F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Technix</w:t>
            </w:r>
            <w:proofErr w:type="spellEnd"/>
            <w:r w:rsidRPr="00BA4867">
              <w:rPr>
                <w:rFonts w:ascii="Garamond" w:eastAsiaTheme="minorHAnsi" w:hAnsi="Garamond" w:cstheme="minorBidi"/>
                <w:sz w:val="22"/>
                <w:szCs w:val="22"/>
                <w:lang w:eastAsia="en-US"/>
              </w:rPr>
              <w:t xml:space="preserve"> Włochy</w:t>
            </w:r>
          </w:p>
        </w:tc>
        <w:tc>
          <w:tcPr>
            <w:tcW w:w="1069" w:type="dxa"/>
            <w:vAlign w:val="bottom"/>
            <w:hideMark/>
          </w:tcPr>
          <w:p w14:paraId="43A28E6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2003</w:t>
            </w:r>
          </w:p>
        </w:tc>
        <w:tc>
          <w:tcPr>
            <w:tcW w:w="2260" w:type="dxa"/>
            <w:vAlign w:val="bottom"/>
            <w:hideMark/>
          </w:tcPr>
          <w:p w14:paraId="4E3EDE9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390302377</w:t>
            </w:r>
          </w:p>
        </w:tc>
        <w:tc>
          <w:tcPr>
            <w:tcW w:w="1653" w:type="dxa"/>
            <w:vAlign w:val="bottom"/>
            <w:hideMark/>
          </w:tcPr>
          <w:p w14:paraId="5CEEFFE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47B067D6" w14:textId="77777777" w:rsidTr="00ED2950">
        <w:trPr>
          <w:trHeight w:val="915"/>
        </w:trPr>
        <w:tc>
          <w:tcPr>
            <w:tcW w:w="577" w:type="dxa"/>
            <w:noWrap/>
            <w:vAlign w:val="bottom"/>
            <w:hideMark/>
          </w:tcPr>
          <w:p w14:paraId="371FDAE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9</w:t>
            </w:r>
          </w:p>
        </w:tc>
        <w:tc>
          <w:tcPr>
            <w:tcW w:w="2106" w:type="dxa"/>
            <w:noWrap/>
            <w:vAlign w:val="bottom"/>
            <w:hideMark/>
          </w:tcPr>
          <w:p w14:paraId="5C1E3B1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r w:rsidRPr="00BA4867">
              <w:rPr>
                <w:rFonts w:ascii="Garamond" w:eastAsiaTheme="minorHAnsi" w:hAnsi="Garamond" w:cstheme="minorBidi"/>
                <w:sz w:val="22"/>
                <w:szCs w:val="22"/>
                <w:lang w:eastAsia="en-US"/>
              </w:rPr>
              <w:t xml:space="preserve"> cyfrowy</w:t>
            </w:r>
          </w:p>
        </w:tc>
        <w:tc>
          <w:tcPr>
            <w:tcW w:w="1417" w:type="dxa"/>
            <w:vAlign w:val="bottom"/>
            <w:hideMark/>
          </w:tcPr>
          <w:p w14:paraId="0ECECE4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X-</w:t>
            </w:r>
            <w:proofErr w:type="spellStart"/>
            <w:r w:rsidRPr="00BA4867">
              <w:rPr>
                <w:rFonts w:ascii="Garamond" w:eastAsiaTheme="minorHAnsi" w:hAnsi="Garamond" w:cstheme="minorBidi"/>
                <w:sz w:val="22"/>
                <w:szCs w:val="22"/>
                <w:lang w:eastAsia="en-US"/>
              </w:rPr>
              <w:t>Twin</w:t>
            </w:r>
            <w:proofErr w:type="spellEnd"/>
          </w:p>
        </w:tc>
        <w:tc>
          <w:tcPr>
            <w:tcW w:w="1256" w:type="dxa"/>
            <w:vAlign w:val="bottom"/>
            <w:hideMark/>
          </w:tcPr>
          <w:p w14:paraId="2ECB841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ROESYS</w:t>
            </w:r>
          </w:p>
        </w:tc>
        <w:tc>
          <w:tcPr>
            <w:tcW w:w="1069" w:type="dxa"/>
            <w:vAlign w:val="bottom"/>
            <w:hideMark/>
          </w:tcPr>
          <w:p w14:paraId="5096E5C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47F90BE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S105 0093</w:t>
            </w:r>
          </w:p>
        </w:tc>
        <w:tc>
          <w:tcPr>
            <w:tcW w:w="1653" w:type="dxa"/>
            <w:vAlign w:val="bottom"/>
            <w:hideMark/>
          </w:tcPr>
          <w:p w14:paraId="384B9C1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21338AA3" w14:textId="77777777" w:rsidTr="00ED2950">
        <w:trPr>
          <w:trHeight w:val="615"/>
        </w:trPr>
        <w:tc>
          <w:tcPr>
            <w:tcW w:w="577" w:type="dxa"/>
            <w:noWrap/>
            <w:vAlign w:val="bottom"/>
            <w:hideMark/>
          </w:tcPr>
          <w:p w14:paraId="558C672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10</w:t>
            </w:r>
          </w:p>
        </w:tc>
        <w:tc>
          <w:tcPr>
            <w:tcW w:w="2106" w:type="dxa"/>
            <w:noWrap/>
            <w:vAlign w:val="bottom"/>
            <w:hideMark/>
          </w:tcPr>
          <w:p w14:paraId="065DA73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rtg</w:t>
            </w:r>
            <w:proofErr w:type="spellEnd"/>
            <w:r w:rsidRPr="00BA4867">
              <w:rPr>
                <w:rFonts w:ascii="Garamond" w:eastAsiaTheme="minorHAnsi" w:hAnsi="Garamond" w:cstheme="minorBidi"/>
                <w:sz w:val="22"/>
                <w:szCs w:val="22"/>
                <w:lang w:eastAsia="en-US"/>
              </w:rPr>
              <w:t xml:space="preserve"> przewoźny</w:t>
            </w:r>
          </w:p>
        </w:tc>
        <w:tc>
          <w:tcPr>
            <w:tcW w:w="1417" w:type="dxa"/>
            <w:vAlign w:val="bottom"/>
            <w:hideMark/>
          </w:tcPr>
          <w:p w14:paraId="51E4F2B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Polymobil</w:t>
            </w:r>
            <w:proofErr w:type="spellEnd"/>
            <w:r w:rsidRPr="00BA4867">
              <w:rPr>
                <w:rFonts w:ascii="Garamond" w:eastAsiaTheme="minorHAnsi" w:hAnsi="Garamond" w:cstheme="minorBidi"/>
                <w:sz w:val="22"/>
                <w:szCs w:val="22"/>
                <w:lang w:eastAsia="en-US"/>
              </w:rPr>
              <w:t xml:space="preserve"> Plus</w:t>
            </w:r>
          </w:p>
        </w:tc>
        <w:tc>
          <w:tcPr>
            <w:tcW w:w="1256" w:type="dxa"/>
            <w:vAlign w:val="bottom"/>
            <w:hideMark/>
          </w:tcPr>
          <w:p w14:paraId="573F915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3CB6DDE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2000</w:t>
            </w:r>
          </w:p>
        </w:tc>
        <w:tc>
          <w:tcPr>
            <w:tcW w:w="2260" w:type="dxa"/>
            <w:vAlign w:val="bottom"/>
            <w:hideMark/>
          </w:tcPr>
          <w:p w14:paraId="4E6B4B4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010131</w:t>
            </w:r>
          </w:p>
        </w:tc>
        <w:tc>
          <w:tcPr>
            <w:tcW w:w="1653" w:type="dxa"/>
            <w:vAlign w:val="bottom"/>
            <w:hideMark/>
          </w:tcPr>
          <w:p w14:paraId="05336EE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58C8A70E" w14:textId="77777777" w:rsidTr="00ED2950">
        <w:trPr>
          <w:trHeight w:val="315"/>
        </w:trPr>
        <w:tc>
          <w:tcPr>
            <w:tcW w:w="577" w:type="dxa"/>
            <w:noWrap/>
            <w:vAlign w:val="bottom"/>
            <w:hideMark/>
          </w:tcPr>
          <w:p w14:paraId="515A517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11</w:t>
            </w:r>
          </w:p>
        </w:tc>
        <w:tc>
          <w:tcPr>
            <w:tcW w:w="2106" w:type="dxa"/>
            <w:noWrap/>
            <w:vAlign w:val="bottom"/>
            <w:hideMark/>
          </w:tcPr>
          <w:p w14:paraId="10F3988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Aparat RTG z ramieniem C</w:t>
            </w:r>
          </w:p>
        </w:tc>
        <w:tc>
          <w:tcPr>
            <w:tcW w:w="1417" w:type="dxa"/>
            <w:vAlign w:val="bottom"/>
            <w:hideMark/>
          </w:tcPr>
          <w:p w14:paraId="6C2E134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Siremobil</w:t>
            </w:r>
            <w:proofErr w:type="spellEnd"/>
            <w:r w:rsidRPr="00BA4867">
              <w:rPr>
                <w:rFonts w:ascii="Garamond" w:eastAsiaTheme="minorHAnsi" w:hAnsi="Garamond" w:cstheme="minorBidi"/>
                <w:sz w:val="22"/>
                <w:szCs w:val="22"/>
                <w:lang w:eastAsia="en-US"/>
              </w:rPr>
              <w:t xml:space="preserve"> L</w:t>
            </w:r>
          </w:p>
        </w:tc>
        <w:tc>
          <w:tcPr>
            <w:tcW w:w="1256" w:type="dxa"/>
            <w:vAlign w:val="bottom"/>
            <w:hideMark/>
          </w:tcPr>
          <w:p w14:paraId="3EA7890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3C3FB3F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2007</w:t>
            </w:r>
          </w:p>
        </w:tc>
        <w:tc>
          <w:tcPr>
            <w:tcW w:w="2260" w:type="dxa"/>
            <w:vAlign w:val="bottom"/>
            <w:hideMark/>
          </w:tcPr>
          <w:p w14:paraId="72E80B4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3867</w:t>
            </w:r>
          </w:p>
        </w:tc>
        <w:tc>
          <w:tcPr>
            <w:tcW w:w="1653" w:type="dxa"/>
            <w:vAlign w:val="bottom"/>
            <w:hideMark/>
          </w:tcPr>
          <w:p w14:paraId="4B06A3D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Blok Operacyjny</w:t>
            </w:r>
          </w:p>
        </w:tc>
      </w:tr>
      <w:tr w:rsidR="00BA4867" w:rsidRPr="00BA4867" w14:paraId="50031A79" w14:textId="77777777" w:rsidTr="00ED2950">
        <w:trPr>
          <w:trHeight w:val="315"/>
        </w:trPr>
        <w:tc>
          <w:tcPr>
            <w:tcW w:w="577" w:type="dxa"/>
            <w:noWrap/>
            <w:vAlign w:val="bottom"/>
            <w:hideMark/>
          </w:tcPr>
          <w:p w14:paraId="24BD9B2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12</w:t>
            </w:r>
          </w:p>
        </w:tc>
        <w:tc>
          <w:tcPr>
            <w:tcW w:w="2106" w:type="dxa"/>
            <w:noWrap/>
            <w:vAlign w:val="bottom"/>
            <w:hideMark/>
          </w:tcPr>
          <w:p w14:paraId="18F6038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Aparat RTG z ramieniem C</w:t>
            </w:r>
          </w:p>
        </w:tc>
        <w:tc>
          <w:tcPr>
            <w:tcW w:w="1417" w:type="dxa"/>
            <w:vAlign w:val="bottom"/>
            <w:hideMark/>
          </w:tcPr>
          <w:p w14:paraId="30F3370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Ziehm</w:t>
            </w:r>
            <w:proofErr w:type="spellEnd"/>
            <w:r w:rsidRPr="00BA4867">
              <w:rPr>
                <w:rFonts w:ascii="Garamond" w:eastAsiaTheme="minorHAnsi" w:hAnsi="Garamond" w:cstheme="minorBidi"/>
                <w:sz w:val="22"/>
                <w:szCs w:val="22"/>
                <w:lang w:eastAsia="en-US"/>
              </w:rPr>
              <w:t xml:space="preserve"> Solo</w:t>
            </w:r>
          </w:p>
        </w:tc>
        <w:tc>
          <w:tcPr>
            <w:tcW w:w="1256" w:type="dxa"/>
            <w:vAlign w:val="bottom"/>
            <w:hideMark/>
          </w:tcPr>
          <w:p w14:paraId="7D91E1B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Ziehm</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Imaging</w:t>
            </w:r>
            <w:proofErr w:type="spellEnd"/>
            <w:r w:rsidRPr="00BA4867">
              <w:rPr>
                <w:rFonts w:ascii="Garamond" w:eastAsiaTheme="minorHAnsi" w:hAnsi="Garamond" w:cstheme="minorBidi"/>
                <w:sz w:val="22"/>
                <w:szCs w:val="22"/>
                <w:lang w:eastAsia="en-US"/>
              </w:rPr>
              <w:t xml:space="preserve"> GmbH</w:t>
            </w:r>
          </w:p>
        </w:tc>
        <w:tc>
          <w:tcPr>
            <w:tcW w:w="1069" w:type="dxa"/>
            <w:vAlign w:val="bottom"/>
            <w:hideMark/>
          </w:tcPr>
          <w:p w14:paraId="608D778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2E2F8A0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52808</w:t>
            </w:r>
          </w:p>
        </w:tc>
        <w:tc>
          <w:tcPr>
            <w:tcW w:w="1653" w:type="dxa"/>
            <w:vAlign w:val="bottom"/>
            <w:hideMark/>
          </w:tcPr>
          <w:p w14:paraId="70CEFE6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Blok Operacyjny</w:t>
            </w:r>
          </w:p>
        </w:tc>
      </w:tr>
      <w:tr w:rsidR="00BA4867" w:rsidRPr="00BA4867" w14:paraId="58626E5E" w14:textId="77777777" w:rsidTr="00ED2950">
        <w:trPr>
          <w:trHeight w:val="915"/>
        </w:trPr>
        <w:tc>
          <w:tcPr>
            <w:tcW w:w="577" w:type="dxa"/>
            <w:noWrap/>
            <w:vAlign w:val="bottom"/>
            <w:hideMark/>
          </w:tcPr>
          <w:p w14:paraId="221B787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13</w:t>
            </w:r>
          </w:p>
        </w:tc>
        <w:tc>
          <w:tcPr>
            <w:tcW w:w="2106" w:type="dxa"/>
            <w:noWrap/>
            <w:vAlign w:val="bottom"/>
            <w:hideMark/>
          </w:tcPr>
          <w:p w14:paraId="12E82A6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Aparat RTG z ramieniem C</w:t>
            </w:r>
          </w:p>
        </w:tc>
        <w:tc>
          <w:tcPr>
            <w:tcW w:w="1417" w:type="dxa"/>
            <w:vAlign w:val="bottom"/>
            <w:hideMark/>
          </w:tcPr>
          <w:p w14:paraId="6FB01A8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Ziehm</w:t>
            </w:r>
            <w:proofErr w:type="spellEnd"/>
            <w:r w:rsidRPr="00BA4867">
              <w:rPr>
                <w:rFonts w:ascii="Garamond" w:eastAsiaTheme="minorHAnsi" w:hAnsi="Garamond" w:cstheme="minorBidi"/>
                <w:sz w:val="22"/>
                <w:szCs w:val="22"/>
                <w:lang w:eastAsia="en-US"/>
              </w:rPr>
              <w:t xml:space="preserve"> Solo</w:t>
            </w:r>
          </w:p>
        </w:tc>
        <w:tc>
          <w:tcPr>
            <w:tcW w:w="1256" w:type="dxa"/>
            <w:vAlign w:val="bottom"/>
            <w:hideMark/>
          </w:tcPr>
          <w:p w14:paraId="51F63D6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Ziehm</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Imaging</w:t>
            </w:r>
            <w:proofErr w:type="spellEnd"/>
            <w:r w:rsidRPr="00BA4867">
              <w:rPr>
                <w:rFonts w:ascii="Garamond" w:eastAsiaTheme="minorHAnsi" w:hAnsi="Garamond" w:cstheme="minorBidi"/>
                <w:sz w:val="22"/>
                <w:szCs w:val="22"/>
                <w:lang w:eastAsia="en-US"/>
              </w:rPr>
              <w:t xml:space="preserve"> GmbH</w:t>
            </w:r>
          </w:p>
        </w:tc>
        <w:tc>
          <w:tcPr>
            <w:tcW w:w="1069" w:type="dxa"/>
            <w:vAlign w:val="bottom"/>
            <w:hideMark/>
          </w:tcPr>
          <w:p w14:paraId="6E9D7CC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2AC9475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52984</w:t>
            </w:r>
          </w:p>
        </w:tc>
        <w:tc>
          <w:tcPr>
            <w:tcW w:w="1653" w:type="dxa"/>
            <w:vAlign w:val="bottom"/>
            <w:hideMark/>
          </w:tcPr>
          <w:p w14:paraId="06C1EB0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79F41A77" w14:textId="77777777" w:rsidTr="00ED2950">
        <w:trPr>
          <w:trHeight w:val="615"/>
        </w:trPr>
        <w:tc>
          <w:tcPr>
            <w:tcW w:w="577" w:type="dxa"/>
            <w:noWrap/>
            <w:vAlign w:val="bottom"/>
            <w:hideMark/>
          </w:tcPr>
          <w:p w14:paraId="5330EB8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14</w:t>
            </w:r>
          </w:p>
        </w:tc>
        <w:tc>
          <w:tcPr>
            <w:tcW w:w="2106" w:type="dxa"/>
            <w:noWrap/>
            <w:vAlign w:val="bottom"/>
            <w:hideMark/>
          </w:tcPr>
          <w:p w14:paraId="16C8A30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Tomograf komputerowy</w:t>
            </w:r>
          </w:p>
        </w:tc>
        <w:tc>
          <w:tcPr>
            <w:tcW w:w="1417" w:type="dxa"/>
            <w:vAlign w:val="bottom"/>
            <w:hideMark/>
          </w:tcPr>
          <w:p w14:paraId="2A22856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LightSpeed</w:t>
            </w:r>
            <w:proofErr w:type="spellEnd"/>
            <w:r w:rsidRPr="00BA4867">
              <w:rPr>
                <w:rFonts w:ascii="Garamond" w:eastAsiaTheme="minorHAnsi" w:hAnsi="Garamond" w:cstheme="minorBidi"/>
                <w:sz w:val="22"/>
                <w:szCs w:val="22"/>
                <w:lang w:eastAsia="en-US"/>
              </w:rPr>
              <w:t xml:space="preserve"> VCT</w:t>
            </w:r>
          </w:p>
        </w:tc>
        <w:tc>
          <w:tcPr>
            <w:tcW w:w="1256" w:type="dxa"/>
            <w:vAlign w:val="bottom"/>
            <w:hideMark/>
          </w:tcPr>
          <w:p w14:paraId="0965908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GE Healthcare Japan Corp.</w:t>
            </w:r>
          </w:p>
        </w:tc>
        <w:tc>
          <w:tcPr>
            <w:tcW w:w="1069" w:type="dxa"/>
            <w:vAlign w:val="bottom"/>
            <w:hideMark/>
          </w:tcPr>
          <w:p w14:paraId="18671E8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2009</w:t>
            </w:r>
          </w:p>
        </w:tc>
        <w:tc>
          <w:tcPr>
            <w:tcW w:w="2260" w:type="dxa"/>
            <w:vAlign w:val="bottom"/>
            <w:hideMark/>
          </w:tcPr>
          <w:p w14:paraId="470C034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22473YC3</w:t>
            </w:r>
          </w:p>
        </w:tc>
        <w:tc>
          <w:tcPr>
            <w:tcW w:w="1653" w:type="dxa"/>
            <w:vAlign w:val="bottom"/>
            <w:hideMark/>
          </w:tcPr>
          <w:p w14:paraId="32E7996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4E664E3B" w14:textId="77777777" w:rsidTr="00ED2950">
        <w:trPr>
          <w:trHeight w:val="615"/>
        </w:trPr>
        <w:tc>
          <w:tcPr>
            <w:tcW w:w="577" w:type="dxa"/>
            <w:noWrap/>
            <w:vAlign w:val="bottom"/>
            <w:hideMark/>
          </w:tcPr>
          <w:p w14:paraId="24A84D9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w:t>
            </w:r>
          </w:p>
        </w:tc>
        <w:tc>
          <w:tcPr>
            <w:tcW w:w="2106" w:type="dxa"/>
            <w:noWrap/>
            <w:vAlign w:val="bottom"/>
            <w:hideMark/>
          </w:tcPr>
          <w:p w14:paraId="67B4F47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241360E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Acuson</w:t>
            </w:r>
            <w:proofErr w:type="spellEnd"/>
            <w:r w:rsidRPr="00BA4867">
              <w:rPr>
                <w:rFonts w:ascii="Garamond" w:eastAsiaTheme="minorHAnsi" w:hAnsi="Garamond" w:cstheme="minorBidi"/>
                <w:sz w:val="22"/>
                <w:szCs w:val="22"/>
                <w:lang w:eastAsia="en-US"/>
              </w:rPr>
              <w:t xml:space="preserve"> NX3 Elite</w:t>
            </w:r>
          </w:p>
        </w:tc>
        <w:tc>
          <w:tcPr>
            <w:tcW w:w="1256" w:type="dxa"/>
            <w:vAlign w:val="bottom"/>
            <w:hideMark/>
          </w:tcPr>
          <w:p w14:paraId="167A734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72A595C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556FE07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503547</w:t>
            </w:r>
          </w:p>
        </w:tc>
        <w:tc>
          <w:tcPr>
            <w:tcW w:w="1653" w:type="dxa"/>
            <w:vAlign w:val="bottom"/>
            <w:hideMark/>
          </w:tcPr>
          <w:p w14:paraId="400301B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4DA21999" w14:textId="77777777" w:rsidTr="00ED2950">
        <w:trPr>
          <w:trHeight w:val="615"/>
        </w:trPr>
        <w:tc>
          <w:tcPr>
            <w:tcW w:w="577" w:type="dxa"/>
            <w:noWrap/>
            <w:vAlign w:val="bottom"/>
            <w:hideMark/>
          </w:tcPr>
          <w:p w14:paraId="45D40B7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w:t>
            </w:r>
          </w:p>
        </w:tc>
        <w:tc>
          <w:tcPr>
            <w:tcW w:w="2106" w:type="dxa"/>
            <w:noWrap/>
            <w:vAlign w:val="bottom"/>
            <w:hideMark/>
          </w:tcPr>
          <w:p w14:paraId="72C8D2D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1D4E1AB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Acuson</w:t>
            </w:r>
            <w:proofErr w:type="spellEnd"/>
            <w:r w:rsidRPr="00BA4867">
              <w:rPr>
                <w:rFonts w:ascii="Garamond" w:eastAsiaTheme="minorHAnsi" w:hAnsi="Garamond" w:cstheme="minorBidi"/>
                <w:sz w:val="22"/>
                <w:szCs w:val="22"/>
                <w:lang w:eastAsia="en-US"/>
              </w:rPr>
              <w:t xml:space="preserve"> P500</w:t>
            </w:r>
          </w:p>
        </w:tc>
        <w:tc>
          <w:tcPr>
            <w:tcW w:w="1256" w:type="dxa"/>
            <w:vAlign w:val="bottom"/>
            <w:hideMark/>
          </w:tcPr>
          <w:p w14:paraId="58639B6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004D656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2017</w:t>
            </w:r>
          </w:p>
        </w:tc>
        <w:tc>
          <w:tcPr>
            <w:tcW w:w="2260" w:type="dxa"/>
            <w:vAlign w:val="bottom"/>
            <w:hideMark/>
          </w:tcPr>
          <w:p w14:paraId="3437257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391751</w:t>
            </w:r>
          </w:p>
        </w:tc>
        <w:tc>
          <w:tcPr>
            <w:tcW w:w="1653" w:type="dxa"/>
            <w:vAlign w:val="bottom"/>
            <w:hideMark/>
          </w:tcPr>
          <w:p w14:paraId="42A4F6E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Szpitalny Oddział Ratunkowy</w:t>
            </w:r>
          </w:p>
        </w:tc>
      </w:tr>
      <w:tr w:rsidR="00BA4867" w:rsidRPr="00BA4867" w14:paraId="16AAD5DA" w14:textId="77777777" w:rsidTr="00ED2950">
        <w:trPr>
          <w:trHeight w:val="615"/>
        </w:trPr>
        <w:tc>
          <w:tcPr>
            <w:tcW w:w="577" w:type="dxa"/>
            <w:noWrap/>
            <w:vAlign w:val="bottom"/>
            <w:hideMark/>
          </w:tcPr>
          <w:p w14:paraId="5EBCD63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w:t>
            </w:r>
          </w:p>
        </w:tc>
        <w:tc>
          <w:tcPr>
            <w:tcW w:w="2106" w:type="dxa"/>
            <w:noWrap/>
            <w:vAlign w:val="bottom"/>
            <w:hideMark/>
          </w:tcPr>
          <w:p w14:paraId="0D7257A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769904B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Flex</w:t>
            </w:r>
            <w:proofErr w:type="spellEnd"/>
            <w:r w:rsidRPr="00BA4867">
              <w:rPr>
                <w:rFonts w:ascii="Garamond" w:eastAsiaTheme="minorHAnsi" w:hAnsi="Garamond" w:cstheme="minorBidi"/>
                <w:sz w:val="22"/>
                <w:szCs w:val="22"/>
                <w:lang w:eastAsia="en-US"/>
              </w:rPr>
              <w:t xml:space="preserve"> Focus 400</w:t>
            </w:r>
          </w:p>
        </w:tc>
        <w:tc>
          <w:tcPr>
            <w:tcW w:w="1256" w:type="dxa"/>
            <w:vAlign w:val="bottom"/>
            <w:hideMark/>
          </w:tcPr>
          <w:p w14:paraId="6757E8E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BK </w:t>
            </w:r>
            <w:proofErr w:type="spellStart"/>
            <w:r w:rsidRPr="00BA4867">
              <w:rPr>
                <w:rFonts w:ascii="Garamond" w:eastAsiaTheme="minorHAnsi" w:hAnsi="Garamond" w:cstheme="minorBidi"/>
                <w:sz w:val="22"/>
                <w:szCs w:val="22"/>
                <w:lang w:eastAsia="en-US"/>
              </w:rPr>
              <w:t>Medica</w:t>
            </w:r>
            <w:proofErr w:type="spellEnd"/>
          </w:p>
        </w:tc>
        <w:tc>
          <w:tcPr>
            <w:tcW w:w="1069" w:type="dxa"/>
            <w:vAlign w:val="bottom"/>
            <w:hideMark/>
          </w:tcPr>
          <w:p w14:paraId="328DE35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2012</w:t>
            </w:r>
          </w:p>
        </w:tc>
        <w:tc>
          <w:tcPr>
            <w:tcW w:w="2260" w:type="dxa"/>
            <w:vAlign w:val="bottom"/>
            <w:hideMark/>
          </w:tcPr>
          <w:p w14:paraId="085683A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5002535</w:t>
            </w:r>
          </w:p>
        </w:tc>
        <w:tc>
          <w:tcPr>
            <w:tcW w:w="1653" w:type="dxa"/>
            <w:vAlign w:val="bottom"/>
            <w:hideMark/>
          </w:tcPr>
          <w:p w14:paraId="7A046BD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Transplantologii</w:t>
            </w:r>
          </w:p>
        </w:tc>
      </w:tr>
      <w:tr w:rsidR="00BA4867" w:rsidRPr="00BA4867" w14:paraId="771326D4" w14:textId="77777777" w:rsidTr="00ED2950">
        <w:trPr>
          <w:trHeight w:val="615"/>
        </w:trPr>
        <w:tc>
          <w:tcPr>
            <w:tcW w:w="577" w:type="dxa"/>
            <w:noWrap/>
            <w:vAlign w:val="bottom"/>
            <w:hideMark/>
          </w:tcPr>
          <w:p w14:paraId="32DADAA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lastRenderedPageBreak/>
              <w:t>4</w:t>
            </w:r>
          </w:p>
        </w:tc>
        <w:tc>
          <w:tcPr>
            <w:tcW w:w="2106" w:type="dxa"/>
            <w:noWrap/>
            <w:vAlign w:val="bottom"/>
            <w:hideMark/>
          </w:tcPr>
          <w:p w14:paraId="1102CC9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336FEF8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HD11XE</w:t>
            </w:r>
          </w:p>
        </w:tc>
        <w:tc>
          <w:tcPr>
            <w:tcW w:w="1256" w:type="dxa"/>
            <w:vAlign w:val="bottom"/>
            <w:hideMark/>
          </w:tcPr>
          <w:p w14:paraId="684622F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Philips Medical Systems USA</w:t>
            </w:r>
          </w:p>
        </w:tc>
        <w:tc>
          <w:tcPr>
            <w:tcW w:w="1069" w:type="dxa"/>
            <w:vAlign w:val="bottom"/>
            <w:hideMark/>
          </w:tcPr>
          <w:p w14:paraId="65B7DAF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2013</w:t>
            </w:r>
          </w:p>
        </w:tc>
        <w:tc>
          <w:tcPr>
            <w:tcW w:w="2260" w:type="dxa"/>
            <w:vAlign w:val="bottom"/>
            <w:hideMark/>
          </w:tcPr>
          <w:p w14:paraId="5957CD8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USO 1370080</w:t>
            </w:r>
          </w:p>
        </w:tc>
        <w:tc>
          <w:tcPr>
            <w:tcW w:w="1653" w:type="dxa"/>
            <w:vAlign w:val="bottom"/>
            <w:hideMark/>
          </w:tcPr>
          <w:p w14:paraId="1875B7A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Transplantologii</w:t>
            </w:r>
          </w:p>
        </w:tc>
      </w:tr>
      <w:tr w:rsidR="00BA4867" w:rsidRPr="00BA4867" w14:paraId="4898B576" w14:textId="77777777" w:rsidTr="00ED2950">
        <w:trPr>
          <w:trHeight w:val="615"/>
        </w:trPr>
        <w:tc>
          <w:tcPr>
            <w:tcW w:w="577" w:type="dxa"/>
            <w:noWrap/>
            <w:vAlign w:val="bottom"/>
            <w:hideMark/>
          </w:tcPr>
          <w:p w14:paraId="34C596D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5</w:t>
            </w:r>
          </w:p>
        </w:tc>
        <w:tc>
          <w:tcPr>
            <w:tcW w:w="2106" w:type="dxa"/>
            <w:noWrap/>
            <w:vAlign w:val="bottom"/>
            <w:hideMark/>
          </w:tcPr>
          <w:p w14:paraId="1B3796E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3EA4367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HS50</w:t>
            </w:r>
          </w:p>
        </w:tc>
        <w:tc>
          <w:tcPr>
            <w:tcW w:w="1256" w:type="dxa"/>
            <w:vAlign w:val="bottom"/>
            <w:hideMark/>
          </w:tcPr>
          <w:p w14:paraId="3CCA4F5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Samsung</w:t>
            </w:r>
          </w:p>
        </w:tc>
        <w:tc>
          <w:tcPr>
            <w:tcW w:w="1069" w:type="dxa"/>
            <w:vAlign w:val="bottom"/>
            <w:hideMark/>
          </w:tcPr>
          <w:p w14:paraId="3851B95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323FC2B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S1C8113HICA00024W</w:t>
            </w:r>
          </w:p>
        </w:tc>
        <w:tc>
          <w:tcPr>
            <w:tcW w:w="1653" w:type="dxa"/>
            <w:vAlign w:val="bottom"/>
            <w:hideMark/>
          </w:tcPr>
          <w:p w14:paraId="531E330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Ginekologiczny</w:t>
            </w:r>
          </w:p>
        </w:tc>
      </w:tr>
      <w:tr w:rsidR="00BA4867" w:rsidRPr="00BA4867" w14:paraId="27A818C6" w14:textId="77777777" w:rsidTr="00ED2950">
        <w:trPr>
          <w:trHeight w:val="615"/>
        </w:trPr>
        <w:tc>
          <w:tcPr>
            <w:tcW w:w="577" w:type="dxa"/>
            <w:noWrap/>
            <w:vAlign w:val="bottom"/>
            <w:hideMark/>
          </w:tcPr>
          <w:p w14:paraId="25765DD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6</w:t>
            </w:r>
          </w:p>
        </w:tc>
        <w:tc>
          <w:tcPr>
            <w:tcW w:w="2106" w:type="dxa"/>
            <w:noWrap/>
            <w:vAlign w:val="bottom"/>
            <w:hideMark/>
          </w:tcPr>
          <w:p w14:paraId="48FBB3A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7B27519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MYLAB CLASS C</w:t>
            </w:r>
          </w:p>
        </w:tc>
        <w:tc>
          <w:tcPr>
            <w:tcW w:w="1256" w:type="dxa"/>
            <w:vAlign w:val="bottom"/>
            <w:hideMark/>
          </w:tcPr>
          <w:p w14:paraId="2E715AA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ESAOTE</w:t>
            </w:r>
          </w:p>
        </w:tc>
        <w:tc>
          <w:tcPr>
            <w:tcW w:w="1069" w:type="dxa"/>
            <w:vAlign w:val="bottom"/>
            <w:hideMark/>
          </w:tcPr>
          <w:p w14:paraId="4DB09CC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2015</w:t>
            </w:r>
          </w:p>
        </w:tc>
        <w:tc>
          <w:tcPr>
            <w:tcW w:w="2260" w:type="dxa"/>
            <w:vAlign w:val="bottom"/>
            <w:hideMark/>
          </w:tcPr>
          <w:p w14:paraId="0B7C4B4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3982</w:t>
            </w:r>
          </w:p>
        </w:tc>
        <w:tc>
          <w:tcPr>
            <w:tcW w:w="1653" w:type="dxa"/>
            <w:vAlign w:val="bottom"/>
            <w:hideMark/>
          </w:tcPr>
          <w:p w14:paraId="3A609E5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Neurologiczny</w:t>
            </w:r>
          </w:p>
        </w:tc>
      </w:tr>
      <w:tr w:rsidR="00BA4867" w:rsidRPr="00BA4867" w14:paraId="2EF1EFB7" w14:textId="77777777" w:rsidTr="00ED2950">
        <w:trPr>
          <w:trHeight w:val="615"/>
        </w:trPr>
        <w:tc>
          <w:tcPr>
            <w:tcW w:w="577" w:type="dxa"/>
            <w:noWrap/>
            <w:vAlign w:val="bottom"/>
            <w:hideMark/>
          </w:tcPr>
          <w:p w14:paraId="76CB263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7</w:t>
            </w:r>
          </w:p>
        </w:tc>
        <w:tc>
          <w:tcPr>
            <w:tcW w:w="2106" w:type="dxa"/>
            <w:noWrap/>
            <w:vAlign w:val="bottom"/>
            <w:hideMark/>
          </w:tcPr>
          <w:p w14:paraId="6A86E8D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549F9BE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VIVID S6</w:t>
            </w:r>
          </w:p>
        </w:tc>
        <w:tc>
          <w:tcPr>
            <w:tcW w:w="1256" w:type="dxa"/>
            <w:vAlign w:val="bottom"/>
            <w:hideMark/>
          </w:tcPr>
          <w:p w14:paraId="0A2BF8C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GE MEDICAL SYSTEMS</w:t>
            </w:r>
          </w:p>
        </w:tc>
        <w:tc>
          <w:tcPr>
            <w:tcW w:w="1069" w:type="dxa"/>
            <w:vAlign w:val="bottom"/>
            <w:hideMark/>
          </w:tcPr>
          <w:p w14:paraId="53F3D5A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2010</w:t>
            </w:r>
          </w:p>
        </w:tc>
        <w:tc>
          <w:tcPr>
            <w:tcW w:w="2260" w:type="dxa"/>
            <w:vAlign w:val="bottom"/>
            <w:hideMark/>
          </w:tcPr>
          <w:p w14:paraId="4C58BFC3"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2108VS6</w:t>
            </w:r>
          </w:p>
        </w:tc>
        <w:tc>
          <w:tcPr>
            <w:tcW w:w="1653" w:type="dxa"/>
            <w:vAlign w:val="bottom"/>
            <w:hideMark/>
          </w:tcPr>
          <w:p w14:paraId="03C16FF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Kardiologii Inwazyjnej</w:t>
            </w:r>
          </w:p>
        </w:tc>
      </w:tr>
      <w:tr w:rsidR="00BA4867" w:rsidRPr="00BA4867" w14:paraId="51CBC6A7" w14:textId="77777777" w:rsidTr="00ED2950">
        <w:trPr>
          <w:trHeight w:val="615"/>
        </w:trPr>
        <w:tc>
          <w:tcPr>
            <w:tcW w:w="577" w:type="dxa"/>
            <w:noWrap/>
            <w:vAlign w:val="bottom"/>
            <w:hideMark/>
          </w:tcPr>
          <w:p w14:paraId="1285F8C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8</w:t>
            </w:r>
          </w:p>
        </w:tc>
        <w:tc>
          <w:tcPr>
            <w:tcW w:w="2106" w:type="dxa"/>
            <w:noWrap/>
            <w:vAlign w:val="bottom"/>
            <w:hideMark/>
          </w:tcPr>
          <w:p w14:paraId="38A6A89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p>
        </w:tc>
        <w:tc>
          <w:tcPr>
            <w:tcW w:w="1417" w:type="dxa"/>
            <w:vAlign w:val="bottom"/>
            <w:hideMark/>
          </w:tcPr>
          <w:p w14:paraId="6C9E73B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X300</w:t>
            </w:r>
          </w:p>
        </w:tc>
        <w:tc>
          <w:tcPr>
            <w:tcW w:w="1256" w:type="dxa"/>
            <w:vAlign w:val="bottom"/>
            <w:hideMark/>
          </w:tcPr>
          <w:p w14:paraId="15C9D23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Siemens</w:t>
            </w:r>
          </w:p>
        </w:tc>
        <w:tc>
          <w:tcPr>
            <w:tcW w:w="1069" w:type="dxa"/>
            <w:vAlign w:val="bottom"/>
            <w:hideMark/>
          </w:tcPr>
          <w:p w14:paraId="7A91DAA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2013</w:t>
            </w:r>
          </w:p>
        </w:tc>
        <w:tc>
          <w:tcPr>
            <w:tcW w:w="2260" w:type="dxa"/>
            <w:vAlign w:val="bottom"/>
            <w:hideMark/>
          </w:tcPr>
          <w:p w14:paraId="487DF04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323024</w:t>
            </w:r>
          </w:p>
        </w:tc>
        <w:tc>
          <w:tcPr>
            <w:tcW w:w="1653" w:type="dxa"/>
            <w:vAlign w:val="bottom"/>
            <w:hideMark/>
          </w:tcPr>
          <w:p w14:paraId="2277322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Noworodków</w:t>
            </w:r>
          </w:p>
        </w:tc>
      </w:tr>
      <w:tr w:rsidR="00BA4867" w:rsidRPr="00BA4867" w14:paraId="061524E0" w14:textId="77777777" w:rsidTr="00ED2950">
        <w:trPr>
          <w:trHeight w:val="615"/>
        </w:trPr>
        <w:tc>
          <w:tcPr>
            <w:tcW w:w="577" w:type="dxa"/>
            <w:noWrap/>
            <w:vAlign w:val="bottom"/>
            <w:hideMark/>
          </w:tcPr>
          <w:p w14:paraId="1190CF4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9</w:t>
            </w:r>
          </w:p>
        </w:tc>
        <w:tc>
          <w:tcPr>
            <w:tcW w:w="2106" w:type="dxa"/>
            <w:noWrap/>
            <w:vAlign w:val="bottom"/>
            <w:hideMark/>
          </w:tcPr>
          <w:p w14:paraId="7B6BE19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USG do badań </w:t>
            </w:r>
            <w:proofErr w:type="spellStart"/>
            <w:r w:rsidRPr="00BA4867">
              <w:rPr>
                <w:rFonts w:ascii="Garamond" w:eastAsiaTheme="minorHAnsi" w:hAnsi="Garamond" w:cstheme="minorBidi"/>
                <w:sz w:val="22"/>
                <w:szCs w:val="22"/>
                <w:lang w:eastAsia="en-US"/>
              </w:rPr>
              <w:t>echokardiologicznych</w:t>
            </w:r>
            <w:proofErr w:type="spellEnd"/>
          </w:p>
        </w:tc>
        <w:tc>
          <w:tcPr>
            <w:tcW w:w="1417" w:type="dxa"/>
            <w:vAlign w:val="bottom"/>
            <w:hideMark/>
          </w:tcPr>
          <w:p w14:paraId="74BACDD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Vivid</w:t>
            </w:r>
            <w:proofErr w:type="spellEnd"/>
            <w:r w:rsidRPr="00BA4867">
              <w:rPr>
                <w:rFonts w:ascii="Garamond" w:eastAsiaTheme="minorHAnsi" w:hAnsi="Garamond" w:cstheme="minorBidi"/>
                <w:sz w:val="22"/>
                <w:szCs w:val="22"/>
                <w:lang w:eastAsia="en-US"/>
              </w:rPr>
              <w:t xml:space="preserve"> S70</w:t>
            </w:r>
          </w:p>
        </w:tc>
        <w:tc>
          <w:tcPr>
            <w:tcW w:w="1256" w:type="dxa"/>
            <w:vAlign w:val="bottom"/>
            <w:hideMark/>
          </w:tcPr>
          <w:p w14:paraId="3D77F63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GE MEDICAL SYSTEMS</w:t>
            </w:r>
          </w:p>
        </w:tc>
        <w:tc>
          <w:tcPr>
            <w:tcW w:w="1069" w:type="dxa"/>
            <w:vAlign w:val="bottom"/>
            <w:hideMark/>
          </w:tcPr>
          <w:p w14:paraId="3E2E7E7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18B6822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003530S70</w:t>
            </w:r>
          </w:p>
        </w:tc>
        <w:tc>
          <w:tcPr>
            <w:tcW w:w="1653" w:type="dxa"/>
            <w:vAlign w:val="bottom"/>
            <w:hideMark/>
          </w:tcPr>
          <w:p w14:paraId="2CAD0E9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Oddział </w:t>
            </w:r>
            <w:proofErr w:type="spellStart"/>
            <w:r w:rsidRPr="00BA4867">
              <w:rPr>
                <w:rFonts w:ascii="Garamond" w:eastAsiaTheme="minorHAnsi" w:hAnsi="Garamond" w:cstheme="minorBidi"/>
                <w:sz w:val="22"/>
                <w:szCs w:val="22"/>
                <w:lang w:eastAsia="en-US"/>
              </w:rPr>
              <w:t>Kardiologiczno</w:t>
            </w:r>
            <w:proofErr w:type="spellEnd"/>
            <w:r w:rsidRPr="00BA4867">
              <w:rPr>
                <w:rFonts w:ascii="Garamond" w:eastAsiaTheme="minorHAnsi" w:hAnsi="Garamond" w:cstheme="minorBidi"/>
                <w:sz w:val="22"/>
                <w:szCs w:val="22"/>
                <w:lang w:eastAsia="en-US"/>
              </w:rPr>
              <w:t xml:space="preserve"> Internistyczny</w:t>
            </w:r>
          </w:p>
        </w:tc>
      </w:tr>
      <w:tr w:rsidR="00BA4867" w:rsidRPr="00BA4867" w14:paraId="6E2FC32E" w14:textId="77777777" w:rsidTr="00ED2950">
        <w:trPr>
          <w:trHeight w:val="615"/>
        </w:trPr>
        <w:tc>
          <w:tcPr>
            <w:tcW w:w="577" w:type="dxa"/>
            <w:noWrap/>
            <w:vAlign w:val="bottom"/>
            <w:hideMark/>
          </w:tcPr>
          <w:p w14:paraId="7434686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10</w:t>
            </w:r>
          </w:p>
        </w:tc>
        <w:tc>
          <w:tcPr>
            <w:tcW w:w="2106" w:type="dxa"/>
            <w:noWrap/>
            <w:vAlign w:val="bottom"/>
            <w:hideMark/>
          </w:tcPr>
          <w:p w14:paraId="199759F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USG do badań </w:t>
            </w:r>
            <w:proofErr w:type="spellStart"/>
            <w:r w:rsidRPr="00BA4867">
              <w:rPr>
                <w:rFonts w:ascii="Garamond" w:eastAsiaTheme="minorHAnsi" w:hAnsi="Garamond" w:cstheme="minorBidi"/>
                <w:sz w:val="22"/>
                <w:szCs w:val="22"/>
                <w:lang w:eastAsia="en-US"/>
              </w:rPr>
              <w:t>echokardiologicznych</w:t>
            </w:r>
            <w:proofErr w:type="spellEnd"/>
          </w:p>
        </w:tc>
        <w:tc>
          <w:tcPr>
            <w:tcW w:w="1417" w:type="dxa"/>
            <w:vAlign w:val="bottom"/>
            <w:hideMark/>
          </w:tcPr>
          <w:p w14:paraId="5E634B7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Vivid</w:t>
            </w:r>
            <w:proofErr w:type="spellEnd"/>
            <w:r w:rsidRPr="00BA4867">
              <w:rPr>
                <w:rFonts w:ascii="Garamond" w:eastAsiaTheme="minorHAnsi" w:hAnsi="Garamond" w:cstheme="minorBidi"/>
                <w:sz w:val="22"/>
                <w:szCs w:val="22"/>
                <w:lang w:eastAsia="en-US"/>
              </w:rPr>
              <w:t xml:space="preserve"> S70</w:t>
            </w:r>
          </w:p>
        </w:tc>
        <w:tc>
          <w:tcPr>
            <w:tcW w:w="1256" w:type="dxa"/>
            <w:vAlign w:val="bottom"/>
            <w:hideMark/>
          </w:tcPr>
          <w:p w14:paraId="225231C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GE MEDICAL SYSTEMS</w:t>
            </w:r>
          </w:p>
        </w:tc>
        <w:tc>
          <w:tcPr>
            <w:tcW w:w="1069" w:type="dxa"/>
            <w:vAlign w:val="bottom"/>
            <w:hideMark/>
          </w:tcPr>
          <w:p w14:paraId="464C5F3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2018</w:t>
            </w:r>
          </w:p>
        </w:tc>
        <w:tc>
          <w:tcPr>
            <w:tcW w:w="2260" w:type="dxa"/>
            <w:vAlign w:val="bottom"/>
            <w:hideMark/>
          </w:tcPr>
          <w:p w14:paraId="7AED4BC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003559S70</w:t>
            </w:r>
          </w:p>
        </w:tc>
        <w:tc>
          <w:tcPr>
            <w:tcW w:w="1653" w:type="dxa"/>
            <w:vAlign w:val="bottom"/>
            <w:hideMark/>
          </w:tcPr>
          <w:p w14:paraId="7C80A46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Kardiologii Inwazyjnej</w:t>
            </w:r>
          </w:p>
        </w:tc>
      </w:tr>
      <w:tr w:rsidR="00BA4867" w:rsidRPr="00BA4867" w14:paraId="2EA2A65E" w14:textId="77777777" w:rsidTr="00ED2950">
        <w:trPr>
          <w:trHeight w:val="615"/>
        </w:trPr>
        <w:tc>
          <w:tcPr>
            <w:tcW w:w="577" w:type="dxa"/>
            <w:noWrap/>
            <w:vAlign w:val="bottom"/>
            <w:hideMark/>
          </w:tcPr>
          <w:p w14:paraId="395FABB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11</w:t>
            </w:r>
          </w:p>
        </w:tc>
        <w:tc>
          <w:tcPr>
            <w:tcW w:w="2106" w:type="dxa"/>
            <w:noWrap/>
            <w:vAlign w:val="bottom"/>
            <w:hideMark/>
          </w:tcPr>
          <w:p w14:paraId="264BEDB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USG </w:t>
            </w:r>
            <w:proofErr w:type="spellStart"/>
            <w:r w:rsidRPr="00BA4867">
              <w:rPr>
                <w:rFonts w:ascii="Garamond" w:eastAsiaTheme="minorHAnsi" w:hAnsi="Garamond" w:cstheme="minorBidi"/>
                <w:sz w:val="22"/>
                <w:szCs w:val="22"/>
                <w:lang w:eastAsia="en-US"/>
              </w:rPr>
              <w:t>doplerowski</w:t>
            </w:r>
            <w:proofErr w:type="spellEnd"/>
          </w:p>
        </w:tc>
        <w:tc>
          <w:tcPr>
            <w:tcW w:w="1417" w:type="dxa"/>
            <w:vAlign w:val="bottom"/>
            <w:hideMark/>
          </w:tcPr>
          <w:p w14:paraId="49EA611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Sonara</w:t>
            </w:r>
            <w:proofErr w:type="spellEnd"/>
            <w:r w:rsidRPr="00BA4867">
              <w:rPr>
                <w:rFonts w:ascii="Garamond" w:eastAsiaTheme="minorHAnsi" w:hAnsi="Garamond" w:cstheme="minorBidi"/>
                <w:sz w:val="22"/>
                <w:szCs w:val="22"/>
                <w:lang w:eastAsia="en-US"/>
              </w:rPr>
              <w:t>/tek</w:t>
            </w:r>
          </w:p>
        </w:tc>
        <w:tc>
          <w:tcPr>
            <w:tcW w:w="1256" w:type="dxa"/>
            <w:vAlign w:val="bottom"/>
            <w:hideMark/>
          </w:tcPr>
          <w:p w14:paraId="3F9B754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Viasys</w:t>
            </w:r>
            <w:proofErr w:type="spellEnd"/>
            <w:r w:rsidRPr="00BA4867">
              <w:rPr>
                <w:rFonts w:ascii="Garamond" w:eastAsiaTheme="minorHAnsi" w:hAnsi="Garamond" w:cstheme="minorBidi"/>
                <w:sz w:val="22"/>
                <w:szCs w:val="22"/>
                <w:lang w:eastAsia="en-US"/>
              </w:rPr>
              <w:t xml:space="preserve"> </w:t>
            </w:r>
            <w:proofErr w:type="spellStart"/>
            <w:r w:rsidRPr="00BA4867">
              <w:rPr>
                <w:rFonts w:ascii="Garamond" w:eastAsiaTheme="minorHAnsi" w:hAnsi="Garamond" w:cstheme="minorBidi"/>
                <w:sz w:val="22"/>
                <w:szCs w:val="22"/>
                <w:lang w:eastAsia="en-US"/>
              </w:rPr>
              <w:t>NeuroCare</w:t>
            </w:r>
            <w:proofErr w:type="spellEnd"/>
            <w:r w:rsidRPr="00BA4867">
              <w:rPr>
                <w:rFonts w:ascii="Garamond" w:eastAsiaTheme="minorHAnsi" w:hAnsi="Garamond" w:cstheme="minorBidi"/>
                <w:sz w:val="22"/>
                <w:szCs w:val="22"/>
                <w:lang w:eastAsia="en-US"/>
              </w:rPr>
              <w:t xml:space="preserve"> Inc.</w:t>
            </w:r>
          </w:p>
        </w:tc>
        <w:tc>
          <w:tcPr>
            <w:tcW w:w="1069" w:type="dxa"/>
            <w:vAlign w:val="bottom"/>
            <w:hideMark/>
          </w:tcPr>
          <w:p w14:paraId="49EE773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2009</w:t>
            </w:r>
          </w:p>
        </w:tc>
        <w:tc>
          <w:tcPr>
            <w:tcW w:w="2260" w:type="dxa"/>
            <w:vAlign w:val="bottom"/>
            <w:hideMark/>
          </w:tcPr>
          <w:p w14:paraId="5C61283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PVH0309</w:t>
            </w:r>
          </w:p>
        </w:tc>
        <w:tc>
          <w:tcPr>
            <w:tcW w:w="1653" w:type="dxa"/>
            <w:vAlign w:val="bottom"/>
            <w:hideMark/>
          </w:tcPr>
          <w:p w14:paraId="1650A3A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Transplantologii</w:t>
            </w:r>
          </w:p>
        </w:tc>
      </w:tr>
      <w:tr w:rsidR="00BA4867" w:rsidRPr="00BA4867" w14:paraId="21F27933" w14:textId="77777777" w:rsidTr="00ED2950">
        <w:trPr>
          <w:trHeight w:val="615"/>
        </w:trPr>
        <w:tc>
          <w:tcPr>
            <w:tcW w:w="577" w:type="dxa"/>
            <w:noWrap/>
            <w:vAlign w:val="bottom"/>
            <w:hideMark/>
          </w:tcPr>
          <w:p w14:paraId="30D52B2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12</w:t>
            </w:r>
          </w:p>
        </w:tc>
        <w:tc>
          <w:tcPr>
            <w:tcW w:w="2106" w:type="dxa"/>
            <w:noWrap/>
            <w:vAlign w:val="bottom"/>
            <w:hideMark/>
          </w:tcPr>
          <w:p w14:paraId="7CE6650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USG </w:t>
            </w:r>
            <w:proofErr w:type="spellStart"/>
            <w:r w:rsidRPr="00BA4867">
              <w:rPr>
                <w:rFonts w:ascii="Garamond" w:eastAsiaTheme="minorHAnsi" w:hAnsi="Garamond" w:cstheme="minorBidi"/>
                <w:sz w:val="22"/>
                <w:szCs w:val="22"/>
                <w:lang w:eastAsia="en-US"/>
              </w:rPr>
              <w:t>doplerowski</w:t>
            </w:r>
            <w:proofErr w:type="spellEnd"/>
          </w:p>
        </w:tc>
        <w:tc>
          <w:tcPr>
            <w:tcW w:w="1417" w:type="dxa"/>
            <w:vAlign w:val="bottom"/>
            <w:hideMark/>
          </w:tcPr>
          <w:p w14:paraId="2DBF2EF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VOLUSON E6BT 13.5</w:t>
            </w:r>
          </w:p>
        </w:tc>
        <w:tc>
          <w:tcPr>
            <w:tcW w:w="1256" w:type="dxa"/>
            <w:vAlign w:val="bottom"/>
            <w:hideMark/>
          </w:tcPr>
          <w:p w14:paraId="1A7976C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w:t>
            </w:r>
          </w:p>
        </w:tc>
        <w:tc>
          <w:tcPr>
            <w:tcW w:w="1069" w:type="dxa"/>
            <w:vAlign w:val="bottom"/>
            <w:hideMark/>
          </w:tcPr>
          <w:p w14:paraId="40CF4B5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2015</w:t>
            </w:r>
          </w:p>
        </w:tc>
        <w:tc>
          <w:tcPr>
            <w:tcW w:w="2260" w:type="dxa"/>
            <w:vAlign w:val="bottom"/>
            <w:hideMark/>
          </w:tcPr>
          <w:p w14:paraId="6B8B5E7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D 64350</w:t>
            </w:r>
          </w:p>
        </w:tc>
        <w:tc>
          <w:tcPr>
            <w:tcW w:w="1653" w:type="dxa"/>
            <w:vAlign w:val="bottom"/>
            <w:hideMark/>
          </w:tcPr>
          <w:p w14:paraId="5CB4DF9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Położniczy</w:t>
            </w:r>
          </w:p>
        </w:tc>
      </w:tr>
      <w:tr w:rsidR="00BA4867" w:rsidRPr="00BA4867" w14:paraId="3BC01FA6" w14:textId="77777777" w:rsidTr="00ED2950">
        <w:trPr>
          <w:trHeight w:val="615"/>
        </w:trPr>
        <w:tc>
          <w:tcPr>
            <w:tcW w:w="577" w:type="dxa"/>
            <w:noWrap/>
            <w:vAlign w:val="bottom"/>
            <w:hideMark/>
          </w:tcPr>
          <w:p w14:paraId="6E206F18"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13</w:t>
            </w:r>
          </w:p>
        </w:tc>
        <w:tc>
          <w:tcPr>
            <w:tcW w:w="2106" w:type="dxa"/>
            <w:noWrap/>
            <w:vAlign w:val="bottom"/>
            <w:hideMark/>
          </w:tcPr>
          <w:p w14:paraId="6D52D63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 xml:space="preserve">Aparat </w:t>
            </w:r>
            <w:proofErr w:type="spellStart"/>
            <w:r w:rsidRPr="00BA4867">
              <w:rPr>
                <w:rFonts w:ascii="Garamond" w:eastAsiaTheme="minorHAnsi" w:hAnsi="Garamond" w:cstheme="minorBidi"/>
                <w:sz w:val="22"/>
                <w:szCs w:val="22"/>
                <w:lang w:eastAsia="en-US"/>
              </w:rPr>
              <w:t>usg</w:t>
            </w:r>
            <w:proofErr w:type="spellEnd"/>
            <w:r w:rsidRPr="00BA4867">
              <w:rPr>
                <w:rFonts w:ascii="Garamond" w:eastAsiaTheme="minorHAnsi" w:hAnsi="Garamond" w:cstheme="minorBidi"/>
                <w:sz w:val="22"/>
                <w:szCs w:val="22"/>
                <w:lang w:eastAsia="en-US"/>
              </w:rPr>
              <w:t xml:space="preserve"> okulistyczny</w:t>
            </w:r>
          </w:p>
        </w:tc>
        <w:tc>
          <w:tcPr>
            <w:tcW w:w="1417" w:type="dxa"/>
            <w:vAlign w:val="bottom"/>
            <w:hideMark/>
          </w:tcPr>
          <w:p w14:paraId="1DEFF3F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Absolu</w:t>
            </w:r>
            <w:proofErr w:type="spellEnd"/>
          </w:p>
        </w:tc>
        <w:tc>
          <w:tcPr>
            <w:tcW w:w="1256" w:type="dxa"/>
            <w:vAlign w:val="bottom"/>
            <w:hideMark/>
          </w:tcPr>
          <w:p w14:paraId="196FF0D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Quantel</w:t>
            </w:r>
            <w:proofErr w:type="spellEnd"/>
            <w:r w:rsidRPr="00BA4867">
              <w:rPr>
                <w:rFonts w:ascii="Garamond" w:eastAsiaTheme="minorHAnsi" w:hAnsi="Garamond" w:cstheme="minorBidi"/>
                <w:sz w:val="22"/>
                <w:szCs w:val="22"/>
                <w:lang w:eastAsia="en-US"/>
              </w:rPr>
              <w:t xml:space="preserve"> Medical Polska</w:t>
            </w:r>
          </w:p>
        </w:tc>
        <w:tc>
          <w:tcPr>
            <w:tcW w:w="1069" w:type="dxa"/>
            <w:vAlign w:val="bottom"/>
            <w:hideMark/>
          </w:tcPr>
          <w:p w14:paraId="7676A62A"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2019</w:t>
            </w:r>
          </w:p>
        </w:tc>
        <w:tc>
          <w:tcPr>
            <w:tcW w:w="2260" w:type="dxa"/>
            <w:vAlign w:val="bottom"/>
            <w:hideMark/>
          </w:tcPr>
          <w:p w14:paraId="40D19F7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101</w:t>
            </w:r>
          </w:p>
        </w:tc>
        <w:tc>
          <w:tcPr>
            <w:tcW w:w="1653" w:type="dxa"/>
            <w:vAlign w:val="bottom"/>
            <w:hideMark/>
          </w:tcPr>
          <w:p w14:paraId="44DF0B4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Oddział Okulistyczny</w:t>
            </w:r>
          </w:p>
        </w:tc>
      </w:tr>
      <w:tr w:rsidR="00BA4867" w:rsidRPr="00BA4867" w14:paraId="49DEB292" w14:textId="77777777" w:rsidTr="00ED2950">
        <w:trPr>
          <w:trHeight w:val="615"/>
        </w:trPr>
        <w:tc>
          <w:tcPr>
            <w:tcW w:w="577" w:type="dxa"/>
            <w:noWrap/>
            <w:vAlign w:val="bottom"/>
            <w:hideMark/>
          </w:tcPr>
          <w:p w14:paraId="548AE50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14</w:t>
            </w:r>
          </w:p>
        </w:tc>
        <w:tc>
          <w:tcPr>
            <w:tcW w:w="2106" w:type="dxa"/>
            <w:noWrap/>
            <w:vAlign w:val="bottom"/>
            <w:hideMark/>
          </w:tcPr>
          <w:p w14:paraId="6F80AFC1"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Ultrasonograf</w:t>
            </w:r>
          </w:p>
        </w:tc>
        <w:tc>
          <w:tcPr>
            <w:tcW w:w="1417" w:type="dxa"/>
            <w:vAlign w:val="bottom"/>
            <w:hideMark/>
          </w:tcPr>
          <w:p w14:paraId="36E36F2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HD15</w:t>
            </w:r>
          </w:p>
        </w:tc>
        <w:tc>
          <w:tcPr>
            <w:tcW w:w="1256" w:type="dxa"/>
            <w:vAlign w:val="bottom"/>
            <w:hideMark/>
          </w:tcPr>
          <w:p w14:paraId="4E2B341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Philips Medical Systems USA</w:t>
            </w:r>
          </w:p>
        </w:tc>
        <w:tc>
          <w:tcPr>
            <w:tcW w:w="1069" w:type="dxa"/>
            <w:vAlign w:val="bottom"/>
            <w:hideMark/>
          </w:tcPr>
          <w:p w14:paraId="6A7AD7F5"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2012</w:t>
            </w:r>
          </w:p>
        </w:tc>
        <w:tc>
          <w:tcPr>
            <w:tcW w:w="2260" w:type="dxa"/>
            <w:vAlign w:val="bottom"/>
            <w:hideMark/>
          </w:tcPr>
          <w:p w14:paraId="05BBBE4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USD1220192</w:t>
            </w:r>
          </w:p>
        </w:tc>
        <w:tc>
          <w:tcPr>
            <w:tcW w:w="1653" w:type="dxa"/>
            <w:vAlign w:val="bottom"/>
            <w:hideMark/>
          </w:tcPr>
          <w:p w14:paraId="0E7F6F5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3EB898D9" w14:textId="77777777" w:rsidTr="00ED2950">
        <w:trPr>
          <w:trHeight w:val="615"/>
        </w:trPr>
        <w:tc>
          <w:tcPr>
            <w:tcW w:w="577" w:type="dxa"/>
            <w:noWrap/>
            <w:vAlign w:val="bottom"/>
            <w:hideMark/>
          </w:tcPr>
          <w:p w14:paraId="7F7568B2"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15</w:t>
            </w:r>
          </w:p>
        </w:tc>
        <w:tc>
          <w:tcPr>
            <w:tcW w:w="2106" w:type="dxa"/>
            <w:noWrap/>
            <w:vAlign w:val="bottom"/>
            <w:hideMark/>
          </w:tcPr>
          <w:p w14:paraId="563E76D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Ultrasonograf</w:t>
            </w:r>
          </w:p>
        </w:tc>
        <w:tc>
          <w:tcPr>
            <w:tcW w:w="1417" w:type="dxa"/>
            <w:vAlign w:val="bottom"/>
            <w:hideMark/>
          </w:tcPr>
          <w:p w14:paraId="3560F70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RS85</w:t>
            </w:r>
          </w:p>
        </w:tc>
        <w:tc>
          <w:tcPr>
            <w:tcW w:w="1256" w:type="dxa"/>
            <w:vAlign w:val="bottom"/>
            <w:hideMark/>
          </w:tcPr>
          <w:p w14:paraId="63F1D63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Samsung</w:t>
            </w:r>
          </w:p>
        </w:tc>
        <w:tc>
          <w:tcPr>
            <w:tcW w:w="1069" w:type="dxa"/>
            <w:vAlign w:val="bottom"/>
            <w:hideMark/>
          </w:tcPr>
          <w:p w14:paraId="4FB38319"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2020</w:t>
            </w:r>
          </w:p>
        </w:tc>
        <w:tc>
          <w:tcPr>
            <w:tcW w:w="2260" w:type="dxa"/>
            <w:vAlign w:val="bottom"/>
            <w:hideMark/>
          </w:tcPr>
          <w:p w14:paraId="34B939BD"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S18VM3HN900006X</w:t>
            </w:r>
          </w:p>
        </w:tc>
        <w:tc>
          <w:tcPr>
            <w:tcW w:w="1653" w:type="dxa"/>
            <w:vAlign w:val="bottom"/>
            <w:hideMark/>
          </w:tcPr>
          <w:p w14:paraId="40E8D17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Zakład Radiologii</w:t>
            </w:r>
          </w:p>
        </w:tc>
      </w:tr>
      <w:tr w:rsidR="00BA4867" w:rsidRPr="00BA4867" w14:paraId="7C81422D" w14:textId="77777777" w:rsidTr="00ED2950">
        <w:trPr>
          <w:trHeight w:val="615"/>
        </w:trPr>
        <w:tc>
          <w:tcPr>
            <w:tcW w:w="577" w:type="dxa"/>
            <w:noWrap/>
            <w:vAlign w:val="bottom"/>
            <w:hideMark/>
          </w:tcPr>
          <w:p w14:paraId="4ACC95C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16</w:t>
            </w:r>
          </w:p>
        </w:tc>
        <w:tc>
          <w:tcPr>
            <w:tcW w:w="2106" w:type="dxa"/>
            <w:noWrap/>
            <w:vAlign w:val="bottom"/>
            <w:hideMark/>
          </w:tcPr>
          <w:p w14:paraId="259A97B6"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Ultrasonograf</w:t>
            </w:r>
          </w:p>
        </w:tc>
        <w:tc>
          <w:tcPr>
            <w:tcW w:w="1417" w:type="dxa"/>
            <w:vAlign w:val="bottom"/>
            <w:hideMark/>
          </w:tcPr>
          <w:p w14:paraId="36BADF3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Venu</w:t>
            </w:r>
            <w:proofErr w:type="spellEnd"/>
            <w:r w:rsidRPr="00BA4867">
              <w:rPr>
                <w:rFonts w:ascii="Garamond" w:eastAsiaTheme="minorHAnsi" w:hAnsi="Garamond" w:cstheme="minorBidi"/>
                <w:sz w:val="22"/>
                <w:szCs w:val="22"/>
                <w:lang w:eastAsia="en-US"/>
              </w:rPr>
              <w:t xml:space="preserve"> 40</w:t>
            </w:r>
          </w:p>
        </w:tc>
        <w:tc>
          <w:tcPr>
            <w:tcW w:w="1256" w:type="dxa"/>
            <w:vAlign w:val="bottom"/>
            <w:hideMark/>
          </w:tcPr>
          <w:p w14:paraId="3A12CA8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GE MEDICAL SYSTEMS</w:t>
            </w:r>
          </w:p>
        </w:tc>
        <w:tc>
          <w:tcPr>
            <w:tcW w:w="1069" w:type="dxa"/>
            <w:vAlign w:val="bottom"/>
            <w:hideMark/>
          </w:tcPr>
          <w:p w14:paraId="7DF06CB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2012</w:t>
            </w:r>
          </w:p>
        </w:tc>
        <w:tc>
          <w:tcPr>
            <w:tcW w:w="2260" w:type="dxa"/>
            <w:vAlign w:val="bottom"/>
            <w:hideMark/>
          </w:tcPr>
          <w:p w14:paraId="0B869F5E"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267379X6</w:t>
            </w:r>
          </w:p>
        </w:tc>
        <w:tc>
          <w:tcPr>
            <w:tcW w:w="1653" w:type="dxa"/>
            <w:vAlign w:val="bottom"/>
            <w:hideMark/>
          </w:tcPr>
          <w:p w14:paraId="469C7D5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Blok Operacyjny</w:t>
            </w:r>
          </w:p>
        </w:tc>
      </w:tr>
      <w:tr w:rsidR="00BA4867" w:rsidRPr="00BA4867" w14:paraId="26DBCDF9" w14:textId="77777777" w:rsidTr="00ED2950">
        <w:trPr>
          <w:trHeight w:val="615"/>
        </w:trPr>
        <w:tc>
          <w:tcPr>
            <w:tcW w:w="577" w:type="dxa"/>
            <w:noWrap/>
            <w:vAlign w:val="bottom"/>
            <w:hideMark/>
          </w:tcPr>
          <w:p w14:paraId="05D4B4C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17</w:t>
            </w:r>
          </w:p>
        </w:tc>
        <w:tc>
          <w:tcPr>
            <w:tcW w:w="2106" w:type="dxa"/>
            <w:noWrap/>
            <w:vAlign w:val="bottom"/>
            <w:hideMark/>
          </w:tcPr>
          <w:p w14:paraId="4C29116F"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proofErr w:type="spellStart"/>
            <w:r w:rsidRPr="00BA4867">
              <w:rPr>
                <w:rFonts w:ascii="Garamond" w:eastAsiaTheme="minorHAnsi" w:hAnsi="Garamond" w:cstheme="minorBidi"/>
                <w:sz w:val="22"/>
                <w:szCs w:val="22"/>
                <w:lang w:eastAsia="en-US"/>
              </w:rPr>
              <w:t>Utrasonograf</w:t>
            </w:r>
            <w:proofErr w:type="spellEnd"/>
            <w:r w:rsidRPr="00BA4867">
              <w:rPr>
                <w:rFonts w:ascii="Garamond" w:eastAsiaTheme="minorHAnsi" w:hAnsi="Garamond" w:cstheme="minorBidi"/>
                <w:sz w:val="22"/>
                <w:szCs w:val="22"/>
                <w:lang w:eastAsia="en-US"/>
              </w:rPr>
              <w:t xml:space="preserve"> okulistyczny</w:t>
            </w:r>
          </w:p>
        </w:tc>
        <w:tc>
          <w:tcPr>
            <w:tcW w:w="1417" w:type="dxa"/>
            <w:vAlign w:val="bottom"/>
            <w:hideMark/>
          </w:tcPr>
          <w:p w14:paraId="5E8EBDEB"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Ultra Scan</w:t>
            </w:r>
          </w:p>
        </w:tc>
        <w:tc>
          <w:tcPr>
            <w:tcW w:w="1256" w:type="dxa"/>
            <w:vAlign w:val="bottom"/>
            <w:hideMark/>
          </w:tcPr>
          <w:p w14:paraId="2518BE1C"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ALCON USA</w:t>
            </w:r>
          </w:p>
        </w:tc>
        <w:tc>
          <w:tcPr>
            <w:tcW w:w="1069" w:type="dxa"/>
            <w:vAlign w:val="bottom"/>
            <w:hideMark/>
          </w:tcPr>
          <w:p w14:paraId="4141F490"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2001</w:t>
            </w:r>
          </w:p>
        </w:tc>
        <w:tc>
          <w:tcPr>
            <w:tcW w:w="2260" w:type="dxa"/>
            <w:vAlign w:val="bottom"/>
            <w:hideMark/>
          </w:tcPr>
          <w:p w14:paraId="1A502197"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0202273201X</w:t>
            </w:r>
          </w:p>
        </w:tc>
        <w:tc>
          <w:tcPr>
            <w:tcW w:w="1653" w:type="dxa"/>
            <w:vAlign w:val="bottom"/>
            <w:hideMark/>
          </w:tcPr>
          <w:p w14:paraId="0F255934" w14:textId="77777777" w:rsidR="00BA4867" w:rsidRPr="00BA4867" w:rsidRDefault="00BA4867" w:rsidP="00BA4867">
            <w:pPr>
              <w:spacing w:line="276" w:lineRule="auto"/>
              <w:ind w:left="57" w:right="57"/>
              <w:rPr>
                <w:rFonts w:ascii="Garamond" w:eastAsiaTheme="minorHAnsi" w:hAnsi="Garamond" w:cstheme="minorBidi"/>
                <w:sz w:val="22"/>
                <w:szCs w:val="22"/>
                <w:lang w:eastAsia="en-US"/>
              </w:rPr>
            </w:pPr>
            <w:r w:rsidRPr="00BA4867">
              <w:rPr>
                <w:rFonts w:ascii="Garamond" w:eastAsiaTheme="minorHAnsi" w:hAnsi="Garamond" w:cstheme="minorBidi"/>
                <w:sz w:val="22"/>
                <w:szCs w:val="22"/>
                <w:lang w:eastAsia="en-US"/>
              </w:rPr>
              <w:t>Poradnia Okulistyczna</w:t>
            </w:r>
          </w:p>
        </w:tc>
      </w:tr>
    </w:tbl>
    <w:p w14:paraId="28CE1F8D" w14:textId="6A2286B2" w:rsidR="00BA4867" w:rsidRPr="00BA4867" w:rsidRDefault="00BA4867" w:rsidP="00BA4867">
      <w:pPr>
        <w:spacing w:after="200" w:line="276" w:lineRule="auto"/>
        <w:jc w:val="both"/>
        <w:rPr>
          <w:rFonts w:eastAsiaTheme="minorHAnsi"/>
          <w:sz w:val="22"/>
          <w:szCs w:val="22"/>
          <w:lang w:eastAsia="en-US"/>
        </w:rPr>
      </w:pPr>
      <w:r>
        <w:rPr>
          <w:rFonts w:asciiTheme="minorHAnsi" w:eastAsiaTheme="minorHAnsi" w:hAnsiTheme="minorHAnsi" w:cstheme="minorHAnsi"/>
          <w:lang w:eastAsia="en-US"/>
        </w:rPr>
        <w:br/>
      </w:r>
      <w:r w:rsidRPr="00BA4867">
        <w:rPr>
          <w:rFonts w:eastAsiaTheme="minorHAnsi"/>
          <w:sz w:val="22"/>
          <w:szCs w:val="22"/>
          <w:lang w:eastAsia="en-US"/>
        </w:rPr>
        <w:t xml:space="preserve">Ponadto zamawiający oczekuje integracji urządzeń które zostaną zakupione w ramach poniższych postępowań przetargowych </w:t>
      </w:r>
      <w:proofErr w:type="spellStart"/>
      <w:r w:rsidRPr="00BA4867">
        <w:rPr>
          <w:rFonts w:eastAsiaTheme="minorHAnsi"/>
          <w:sz w:val="22"/>
          <w:szCs w:val="22"/>
          <w:lang w:eastAsia="en-US"/>
        </w:rPr>
        <w:t>tj</w:t>
      </w:r>
      <w:proofErr w:type="spellEnd"/>
      <w:r w:rsidRPr="00BA4867">
        <w:rPr>
          <w:rFonts w:eastAsiaTheme="minorHAnsi"/>
          <w:sz w:val="22"/>
          <w:szCs w:val="22"/>
          <w:lang w:eastAsia="en-US"/>
        </w:rPr>
        <w:t>:</w:t>
      </w:r>
    </w:p>
    <w:p w14:paraId="069D3DD7" w14:textId="77777777" w:rsidR="00BA4867" w:rsidRPr="00BA4867" w:rsidRDefault="00BA4867" w:rsidP="00BA4867">
      <w:pPr>
        <w:spacing w:after="200" w:line="276" w:lineRule="auto"/>
        <w:jc w:val="both"/>
        <w:rPr>
          <w:rFonts w:eastAsiaTheme="minorHAnsi"/>
          <w:sz w:val="22"/>
          <w:szCs w:val="22"/>
          <w:lang w:eastAsia="en-US"/>
        </w:rPr>
      </w:pPr>
      <w:r w:rsidRPr="00BA4867">
        <w:rPr>
          <w:rFonts w:eastAsiaTheme="minorHAnsi"/>
          <w:sz w:val="22"/>
          <w:szCs w:val="22"/>
          <w:lang w:eastAsia="en-US"/>
        </w:rPr>
        <w:t>Utworzenie Pracowni Rezonansu Magnetycznego wraz z zakupem i montażem rezonansu magnetycznego w Szpitalu Wojewódzkim w Poznaniu – link do postępowania:</w:t>
      </w:r>
    </w:p>
    <w:p w14:paraId="595A1DDF" w14:textId="77777777" w:rsidR="00BA4867" w:rsidRPr="00BA4867" w:rsidRDefault="006E751A" w:rsidP="00BA4867">
      <w:pPr>
        <w:spacing w:after="200" w:line="276" w:lineRule="auto"/>
        <w:jc w:val="both"/>
        <w:rPr>
          <w:rFonts w:eastAsiaTheme="minorHAnsi"/>
          <w:sz w:val="22"/>
          <w:szCs w:val="22"/>
          <w:lang w:eastAsia="en-US"/>
        </w:rPr>
      </w:pPr>
      <w:hyperlink r:id="rId8" w:history="1">
        <w:r w:rsidR="00BA4867" w:rsidRPr="00BA4867">
          <w:rPr>
            <w:rFonts w:eastAsiaTheme="minorHAnsi"/>
            <w:color w:val="0000FF"/>
            <w:sz w:val="22"/>
            <w:szCs w:val="22"/>
            <w:u w:val="single"/>
            <w:lang w:eastAsia="en-US"/>
          </w:rPr>
          <w:t>https://e-propublico.pl/Ogloszenia/Details/450f8bc5-0890-434b-b4bb-962846261d31</w:t>
        </w:r>
      </w:hyperlink>
    </w:p>
    <w:p w14:paraId="7138D9C3" w14:textId="77777777" w:rsidR="00BA4867" w:rsidRPr="00BA4867" w:rsidRDefault="00BA4867" w:rsidP="00BA4867">
      <w:pPr>
        <w:spacing w:after="200" w:line="276" w:lineRule="auto"/>
        <w:jc w:val="both"/>
        <w:rPr>
          <w:rFonts w:eastAsiaTheme="minorHAnsi"/>
          <w:sz w:val="22"/>
          <w:szCs w:val="22"/>
          <w:lang w:eastAsia="en-US"/>
        </w:rPr>
      </w:pPr>
      <w:r w:rsidRPr="00BA4867">
        <w:rPr>
          <w:rFonts w:eastAsiaTheme="minorHAnsi"/>
          <w:sz w:val="22"/>
          <w:szCs w:val="22"/>
          <w:lang w:eastAsia="en-US"/>
        </w:rPr>
        <w:lastRenderedPageBreak/>
        <w:t xml:space="preserve">SZW/DZP/79/2023 - Doposażenie Szpitala w sprzęt i aparaturę medyczną na potrzeby udzielanych świadczeń zdrowotnych (4 pakiety) – z wyłączeniem Myjnia </w:t>
      </w:r>
      <w:proofErr w:type="spellStart"/>
      <w:r w:rsidRPr="00BA4867">
        <w:rPr>
          <w:rFonts w:eastAsiaTheme="minorHAnsi"/>
          <w:sz w:val="22"/>
          <w:szCs w:val="22"/>
          <w:lang w:eastAsia="en-US"/>
        </w:rPr>
        <w:t>dezynfekator</w:t>
      </w:r>
      <w:proofErr w:type="spellEnd"/>
      <w:r w:rsidRPr="00BA4867">
        <w:rPr>
          <w:rFonts w:eastAsiaTheme="minorHAnsi"/>
          <w:sz w:val="22"/>
          <w:szCs w:val="22"/>
          <w:lang w:eastAsia="en-US"/>
        </w:rPr>
        <w:t xml:space="preserve"> – link do postępowania:</w:t>
      </w:r>
    </w:p>
    <w:p w14:paraId="2D07014E" w14:textId="77777777" w:rsidR="00BA4867" w:rsidRPr="00BA4867" w:rsidRDefault="00BA4867" w:rsidP="00BA4867">
      <w:pPr>
        <w:spacing w:after="200" w:line="276" w:lineRule="auto"/>
        <w:jc w:val="both"/>
        <w:rPr>
          <w:rFonts w:eastAsiaTheme="minorHAnsi"/>
          <w:sz w:val="22"/>
          <w:szCs w:val="22"/>
          <w:lang w:eastAsia="en-US"/>
        </w:rPr>
      </w:pPr>
      <w:r w:rsidRPr="00BA4867">
        <w:rPr>
          <w:rFonts w:eastAsiaTheme="minorHAnsi"/>
          <w:sz w:val="22"/>
          <w:szCs w:val="22"/>
          <w:lang w:eastAsia="en-US"/>
        </w:rPr>
        <w:t>https://e-propublico.pl/Ogloszenia/DokumentyZamowienia?przetargId=460bcc0b-b2fd-4ca5-8cea-9d5a1e074c5c</w:t>
      </w:r>
    </w:p>
    <w:p w14:paraId="00C9E3BC" w14:textId="77777777" w:rsidR="00BA4867" w:rsidRPr="00BA4867" w:rsidRDefault="00BA4867" w:rsidP="00BA4867">
      <w:pPr>
        <w:spacing w:after="200" w:line="276" w:lineRule="auto"/>
        <w:jc w:val="both"/>
        <w:rPr>
          <w:rFonts w:eastAsiaTheme="minorHAnsi"/>
          <w:b/>
          <w:bCs/>
          <w:sz w:val="22"/>
          <w:szCs w:val="22"/>
          <w:lang w:eastAsia="en-US"/>
        </w:rPr>
      </w:pPr>
      <w:r w:rsidRPr="00BA4867">
        <w:rPr>
          <w:rFonts w:eastAsiaTheme="minorHAnsi"/>
          <w:b/>
          <w:bCs/>
          <w:sz w:val="22"/>
          <w:szCs w:val="22"/>
          <w:lang w:eastAsia="en-US"/>
        </w:rPr>
        <w:t>Zamawiający zastrzega sobie, że lista urządzeń ulega ciągłej modyfikacji ze względu na rozwój metod i narzędzi leczenia pacjentów a ostateczna lista urządzeń zostanie uzgodniona z Wykonawcą na etapie analizy przedwdrożeniowej.</w:t>
      </w:r>
    </w:p>
    <w:bookmarkEnd w:id="0"/>
    <w:p w14:paraId="71F98BF1" w14:textId="49AEEB11" w:rsidR="007B0F45" w:rsidRPr="00116F6D" w:rsidRDefault="007B0F45" w:rsidP="004509AD">
      <w:pPr>
        <w:spacing w:before="60" w:after="60"/>
        <w:ind w:left="30" w:right="-72"/>
        <w:rPr>
          <w:b/>
          <w:bCs/>
          <w:sz w:val="22"/>
          <w:szCs w:val="22"/>
        </w:rPr>
      </w:pPr>
      <w:r w:rsidRPr="00116F6D">
        <w:rPr>
          <w:b/>
          <w:bCs/>
          <w:sz w:val="22"/>
          <w:szCs w:val="22"/>
        </w:rPr>
        <w:t>Pytanie nr 2</w:t>
      </w:r>
      <w:r w:rsidR="004509AD" w:rsidRPr="00116F6D">
        <w:rPr>
          <w:b/>
          <w:bCs/>
          <w:sz w:val="22"/>
          <w:szCs w:val="22"/>
        </w:rPr>
        <w:br/>
      </w:r>
      <w:r w:rsidRPr="00116F6D">
        <w:rPr>
          <w:sz w:val="22"/>
          <w:szCs w:val="22"/>
        </w:rPr>
        <w:t>Wyjaśnienia z dnia 31.07.2023 - odp. na Pytanie 14:  System musi umożliwiać prowadzenie cenników: dla płatności on-line dla rejestracji internetowych możliwość określenia zaliczki wymaganej przed wykonaniem usługi.</w:t>
      </w:r>
    </w:p>
    <w:p w14:paraId="0D7A7DE3" w14:textId="77777777" w:rsidR="007B0F45" w:rsidRPr="00116F6D" w:rsidRDefault="007B0F45" w:rsidP="007B0F45">
      <w:pPr>
        <w:jc w:val="both"/>
        <w:rPr>
          <w:sz w:val="22"/>
          <w:szCs w:val="22"/>
        </w:rPr>
      </w:pPr>
      <w:r w:rsidRPr="00116F6D">
        <w:rPr>
          <w:sz w:val="22"/>
          <w:szCs w:val="22"/>
        </w:rPr>
        <w:t>Pytanie: Czy Zamawiający dopuści jako równoważną możliwość określania usług dla których obowiązuje pełna płatność on-line, a nie wyłącznie zaliczkowa?</w:t>
      </w:r>
    </w:p>
    <w:p w14:paraId="2F3C1F25" w14:textId="77777777" w:rsidR="007B0F45" w:rsidRPr="00116F6D" w:rsidRDefault="007B0F45" w:rsidP="007B0F45">
      <w:pPr>
        <w:jc w:val="both"/>
        <w:rPr>
          <w:sz w:val="22"/>
          <w:szCs w:val="22"/>
        </w:rPr>
      </w:pPr>
      <w:r w:rsidRPr="00116F6D">
        <w:rPr>
          <w:sz w:val="22"/>
          <w:szCs w:val="22"/>
        </w:rPr>
        <w:t>ODP: Wybór operatora płatności oraz podejście do metod płatności nastąpi na etapie Analizy przedwdrożeniowej w uzgodnieniu z Wykonawcą i za jego rekomendacją. Wybór jest uzależniony od technicznych aspektów wdrożenia wybranych przez wykonawcą oraz funkcjonalności interfejsów wdrażanego systemu których Zamawiający nie zna.</w:t>
      </w:r>
    </w:p>
    <w:p w14:paraId="30839254" w14:textId="77777777" w:rsidR="007B0F45" w:rsidRPr="00116F6D" w:rsidRDefault="007B0F45" w:rsidP="007B0F45">
      <w:pPr>
        <w:jc w:val="both"/>
        <w:rPr>
          <w:b/>
          <w:bCs/>
          <w:sz w:val="22"/>
          <w:szCs w:val="22"/>
        </w:rPr>
      </w:pPr>
      <w:r w:rsidRPr="00116F6D">
        <w:rPr>
          <w:b/>
          <w:bCs/>
          <w:sz w:val="22"/>
          <w:szCs w:val="22"/>
        </w:rPr>
        <w:t xml:space="preserve">Odpowiedź na zadane przez Wykonawcę pytanie pozostaje bez związku z pytaniem, ponieważ operator płatności nie ma znaczenia dla konfiguracji cenników. Odpowiedź ta ma natomiast istotny wpływ na ocenę czy będzie konieczne uwzględnienie w wycenie przebudowy systemu. </w:t>
      </w:r>
    </w:p>
    <w:p w14:paraId="429169B9" w14:textId="77777777" w:rsidR="007B0F45" w:rsidRPr="00116F6D" w:rsidRDefault="007B0F45" w:rsidP="007B0F45">
      <w:pPr>
        <w:jc w:val="both"/>
        <w:rPr>
          <w:b/>
          <w:bCs/>
          <w:sz w:val="22"/>
          <w:szCs w:val="22"/>
        </w:rPr>
      </w:pPr>
      <w:r w:rsidRPr="00116F6D">
        <w:rPr>
          <w:b/>
          <w:bCs/>
          <w:sz w:val="22"/>
          <w:szCs w:val="22"/>
        </w:rPr>
        <w:t xml:space="preserve">Prosimy o udzielenie odpowiedzi na pytanie czy wystarczającym będzie, jeżeli system będzie pielęgnował w cenniku usług on-line dla każdej usługi wartość zaliczki określoną w PLN? </w:t>
      </w:r>
    </w:p>
    <w:p w14:paraId="6C675124" w14:textId="1410A2CA"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BA4867">
        <w:rPr>
          <w:b/>
          <w:bCs/>
          <w:sz w:val="22"/>
          <w:szCs w:val="22"/>
        </w:rPr>
        <w:t xml:space="preserve"> </w:t>
      </w:r>
      <w:r w:rsidR="00BA4867" w:rsidRPr="00BA4867">
        <w:rPr>
          <w:sz w:val="22"/>
          <w:szCs w:val="22"/>
        </w:rPr>
        <w:t>Zgodnie z SWZ</w:t>
      </w:r>
    </w:p>
    <w:p w14:paraId="3C2F6772" w14:textId="77777777" w:rsidR="004509AD" w:rsidRPr="00116F6D" w:rsidRDefault="007B0F45" w:rsidP="004509AD">
      <w:pPr>
        <w:spacing w:before="120" w:after="120"/>
        <w:rPr>
          <w:sz w:val="22"/>
          <w:szCs w:val="22"/>
        </w:rPr>
      </w:pPr>
      <w:r w:rsidRPr="00116F6D">
        <w:rPr>
          <w:b/>
          <w:bCs/>
          <w:sz w:val="22"/>
          <w:szCs w:val="22"/>
        </w:rPr>
        <w:br/>
        <w:t>Pytanie nr 3</w:t>
      </w:r>
      <w:r w:rsidR="004509AD" w:rsidRPr="00116F6D">
        <w:rPr>
          <w:b/>
          <w:bCs/>
          <w:sz w:val="22"/>
          <w:szCs w:val="22"/>
        </w:rPr>
        <w:br/>
      </w:r>
      <w:r w:rsidR="004509AD" w:rsidRPr="00116F6D">
        <w:rPr>
          <w:sz w:val="22"/>
          <w:szCs w:val="22"/>
        </w:rPr>
        <w:t>Wyjaśnienia z dnia 31.07.2023 - odp. na Pytania: 243, 285, 276, 3, 149</w:t>
      </w:r>
      <w:r w:rsidR="004509AD" w:rsidRPr="00116F6D">
        <w:rPr>
          <w:sz w:val="22"/>
          <w:szCs w:val="22"/>
        </w:rPr>
        <w:tab/>
      </w:r>
    </w:p>
    <w:p w14:paraId="01A05157" w14:textId="77777777" w:rsidR="004509AD" w:rsidRPr="00116F6D" w:rsidRDefault="004509AD" w:rsidP="004509AD">
      <w:pPr>
        <w:jc w:val="both"/>
        <w:rPr>
          <w:sz w:val="22"/>
          <w:szCs w:val="22"/>
        </w:rPr>
      </w:pPr>
      <w:r w:rsidRPr="00116F6D">
        <w:rPr>
          <w:sz w:val="22"/>
          <w:szCs w:val="22"/>
          <w:u w:val="single"/>
        </w:rPr>
        <w:t>Pytanie 243.</w:t>
      </w:r>
      <w:r w:rsidRPr="00116F6D">
        <w:rPr>
          <w:sz w:val="22"/>
          <w:szCs w:val="22"/>
          <w:u w:val="single"/>
        </w:rPr>
        <w:tab/>
      </w:r>
      <w:r w:rsidRPr="00116F6D">
        <w:rPr>
          <w:sz w:val="22"/>
          <w:szCs w:val="22"/>
        </w:rPr>
        <w:t>Załącznik nr 2 – Opis przedmiotu zamówienia;  System (aplikacja) musi umożliwiać działanie w architekturze wysokiej dostępności (HA)</w:t>
      </w:r>
    </w:p>
    <w:p w14:paraId="7E5D30AC" w14:textId="77777777" w:rsidR="004509AD" w:rsidRPr="00116F6D" w:rsidRDefault="004509AD" w:rsidP="004509AD">
      <w:pPr>
        <w:jc w:val="both"/>
        <w:rPr>
          <w:sz w:val="22"/>
          <w:szCs w:val="22"/>
        </w:rPr>
      </w:pPr>
      <w:r w:rsidRPr="00116F6D">
        <w:rPr>
          <w:sz w:val="22"/>
          <w:szCs w:val="22"/>
        </w:rPr>
        <w:t>Prosimy o potwierdzenie, że wymaganie dotyczy Oprogramowania Aplikacyjnego. Prosimy o potwierdzenie, że Zamawiający dysponuje i przeznaczy do realizacji projektu niezbędną infrastrukturą do spełnienia tego wymagania. Według Wykonawcy udostępnione na str. 12 OPZ Informacje dotyczące serwerów, Systemu wirtualizacji, Systemu bazodanowego są dalece niewystarczające do zbudowania architektury HA.</w:t>
      </w:r>
    </w:p>
    <w:p w14:paraId="58212DEC" w14:textId="77777777" w:rsidR="004509AD" w:rsidRPr="00116F6D" w:rsidRDefault="004509AD" w:rsidP="004509AD">
      <w:pPr>
        <w:spacing w:before="120" w:after="120"/>
        <w:jc w:val="both"/>
        <w:rPr>
          <w:sz w:val="22"/>
          <w:szCs w:val="22"/>
          <w:u w:val="single"/>
        </w:rPr>
      </w:pPr>
      <w:r w:rsidRPr="00116F6D">
        <w:rPr>
          <w:sz w:val="22"/>
          <w:szCs w:val="22"/>
        </w:rPr>
        <w:t>ODP: Zamawiający potwierdza</w:t>
      </w:r>
    </w:p>
    <w:p w14:paraId="0BEB8A48" w14:textId="77777777" w:rsidR="004509AD" w:rsidRPr="00116F6D" w:rsidRDefault="004509AD" w:rsidP="004509AD">
      <w:pPr>
        <w:spacing w:before="120" w:after="120"/>
        <w:jc w:val="both"/>
        <w:rPr>
          <w:sz w:val="22"/>
          <w:szCs w:val="22"/>
        </w:rPr>
      </w:pPr>
      <w:r w:rsidRPr="00116F6D">
        <w:rPr>
          <w:sz w:val="22"/>
          <w:szCs w:val="22"/>
          <w:u w:val="single"/>
        </w:rPr>
        <w:t>Pytanie 285.</w:t>
      </w:r>
      <w:r w:rsidRPr="00116F6D">
        <w:rPr>
          <w:sz w:val="22"/>
          <w:szCs w:val="22"/>
          <w:u w:val="single"/>
        </w:rPr>
        <w:tab/>
      </w:r>
      <w:r w:rsidRPr="00116F6D">
        <w:rPr>
          <w:sz w:val="22"/>
          <w:szCs w:val="22"/>
        </w:rPr>
        <w:t>Załącznik nr 2 - Opis przedmiotu zamówienia – Macierz dyskowa – rozbudowa posiadanej infrastruktury, str. 13</w:t>
      </w:r>
    </w:p>
    <w:p w14:paraId="6624B3F0" w14:textId="77777777" w:rsidR="004509AD" w:rsidRPr="00116F6D" w:rsidRDefault="004509AD" w:rsidP="004509AD">
      <w:pPr>
        <w:jc w:val="both"/>
        <w:rPr>
          <w:sz w:val="22"/>
          <w:szCs w:val="22"/>
        </w:rPr>
      </w:pPr>
      <w:r w:rsidRPr="00116F6D">
        <w:rPr>
          <w:sz w:val="22"/>
          <w:szCs w:val="22"/>
        </w:rPr>
        <w:t xml:space="preserve">Wg. najlepszej wiedzy wykonawcy obecnie dostępne na rynku rozwiązania </w:t>
      </w:r>
      <w:proofErr w:type="spellStart"/>
      <w:r w:rsidRPr="00116F6D">
        <w:rPr>
          <w:sz w:val="22"/>
          <w:szCs w:val="22"/>
        </w:rPr>
        <w:t>storage</w:t>
      </w:r>
      <w:proofErr w:type="spellEnd"/>
      <w:r w:rsidRPr="00116F6D">
        <w:rPr>
          <w:sz w:val="22"/>
          <w:szCs w:val="22"/>
        </w:rPr>
        <w:t xml:space="preserve"> umożliwiające rozbudowę posiadanych przez Zamawiającego macierzy </w:t>
      </w:r>
      <w:proofErr w:type="spellStart"/>
      <w:r w:rsidRPr="00116F6D">
        <w:rPr>
          <w:sz w:val="22"/>
          <w:szCs w:val="22"/>
        </w:rPr>
        <w:t>Huawei</w:t>
      </w:r>
      <w:proofErr w:type="spellEnd"/>
      <w:r w:rsidRPr="00116F6D">
        <w:rPr>
          <w:sz w:val="22"/>
          <w:szCs w:val="22"/>
        </w:rPr>
        <w:t xml:space="preserve"> </w:t>
      </w:r>
      <w:proofErr w:type="spellStart"/>
      <w:r w:rsidRPr="00116F6D">
        <w:rPr>
          <w:sz w:val="22"/>
          <w:szCs w:val="22"/>
        </w:rPr>
        <w:t>OceanStore</w:t>
      </w:r>
      <w:proofErr w:type="spellEnd"/>
      <w:r w:rsidRPr="00116F6D">
        <w:rPr>
          <w:sz w:val="22"/>
          <w:szCs w:val="22"/>
        </w:rPr>
        <w:t xml:space="preserve"> 2600 V3 zaplanowane są w status EOL na koniec 2023 roku. Posiadana przez Zamawiającego infrastruktura OS2600 V3 ma status EOL. Mając na uwadze najlepszy interes Zamawiającego sugerujemy wymianę obecnie posiadanej infrastruktury </w:t>
      </w:r>
      <w:proofErr w:type="spellStart"/>
      <w:r w:rsidRPr="00116F6D">
        <w:rPr>
          <w:sz w:val="22"/>
          <w:szCs w:val="22"/>
        </w:rPr>
        <w:t>storage</w:t>
      </w:r>
      <w:proofErr w:type="spellEnd"/>
      <w:r w:rsidRPr="00116F6D">
        <w:rPr>
          <w:sz w:val="22"/>
          <w:szCs w:val="22"/>
        </w:rPr>
        <w:t xml:space="preserve"> na najnowsze i wysokowydajne rozwiązania dostępne obecnie na rynku z pełnym wsparciem producenta. Tym samym prosimy o określenie parametrów minimalnych dla takiego rozwiązania. </w:t>
      </w:r>
    </w:p>
    <w:p w14:paraId="2917D87A" w14:textId="77777777" w:rsidR="004509AD" w:rsidRPr="00116F6D" w:rsidRDefault="004509AD" w:rsidP="004509AD">
      <w:pPr>
        <w:jc w:val="both"/>
        <w:rPr>
          <w:sz w:val="22"/>
          <w:szCs w:val="22"/>
        </w:rPr>
      </w:pPr>
      <w:r w:rsidRPr="00116F6D">
        <w:rPr>
          <w:sz w:val="22"/>
          <w:szCs w:val="22"/>
        </w:rPr>
        <w:t>ODP: Zamawiający nie znając wymagań systemu informatycznego Wykonawcy nie ma możliwości podania minimalnych wymagań infrastruktury serwerowo-</w:t>
      </w:r>
      <w:proofErr w:type="spellStart"/>
      <w:r w:rsidRPr="00116F6D">
        <w:rPr>
          <w:sz w:val="22"/>
          <w:szCs w:val="22"/>
        </w:rPr>
        <w:t>storage’owej</w:t>
      </w:r>
      <w:proofErr w:type="spellEnd"/>
      <w:r w:rsidRPr="00116F6D">
        <w:rPr>
          <w:sz w:val="22"/>
          <w:szCs w:val="22"/>
        </w:rPr>
        <w:t>.</w:t>
      </w:r>
    </w:p>
    <w:p w14:paraId="12D89571" w14:textId="77777777" w:rsidR="004509AD" w:rsidRPr="00116F6D" w:rsidRDefault="004509AD" w:rsidP="004509AD">
      <w:pPr>
        <w:jc w:val="both"/>
        <w:rPr>
          <w:sz w:val="22"/>
          <w:szCs w:val="22"/>
        </w:rPr>
      </w:pPr>
      <w:r w:rsidRPr="00116F6D">
        <w:rPr>
          <w:sz w:val="22"/>
          <w:szCs w:val="22"/>
          <w:u w:val="single"/>
        </w:rPr>
        <w:t>Pytanie 276.</w:t>
      </w:r>
      <w:r w:rsidRPr="00116F6D">
        <w:rPr>
          <w:sz w:val="22"/>
          <w:szCs w:val="22"/>
          <w:u w:val="single"/>
        </w:rPr>
        <w:tab/>
      </w:r>
      <w:r w:rsidRPr="00116F6D">
        <w:rPr>
          <w:sz w:val="22"/>
          <w:szCs w:val="22"/>
        </w:rPr>
        <w:t>Załącznik nr 2 do OPZ, Motor Bazy Danych. Możliwość budowy klastra na węźle obsługiwanym przez minimum dwa procesory.</w:t>
      </w:r>
    </w:p>
    <w:p w14:paraId="19E9D0B7" w14:textId="77777777" w:rsidR="004509AD" w:rsidRPr="00116F6D" w:rsidRDefault="004509AD" w:rsidP="004509AD">
      <w:pPr>
        <w:jc w:val="both"/>
        <w:rPr>
          <w:sz w:val="22"/>
          <w:szCs w:val="22"/>
        </w:rPr>
      </w:pPr>
      <w:r w:rsidRPr="00116F6D">
        <w:rPr>
          <w:sz w:val="22"/>
          <w:szCs w:val="22"/>
        </w:rPr>
        <w:lastRenderedPageBreak/>
        <w:t>Prosimy o potwierdzenie, że Zamawiający dopuści możliwości zastosowań innych technologii wysokiej dostępności niż klaster budowany na silniku bazy danych (RAC).</w:t>
      </w:r>
    </w:p>
    <w:p w14:paraId="39F8CCF4" w14:textId="77777777" w:rsidR="004509AD" w:rsidRPr="00116F6D" w:rsidRDefault="004509AD" w:rsidP="004509AD">
      <w:pPr>
        <w:jc w:val="both"/>
        <w:rPr>
          <w:sz w:val="22"/>
          <w:szCs w:val="22"/>
        </w:rPr>
      </w:pPr>
      <w:r w:rsidRPr="00116F6D">
        <w:rPr>
          <w:sz w:val="22"/>
          <w:szCs w:val="22"/>
        </w:rPr>
        <w:t>ODP: Zamawiający przeanalizuje innego rozwiązania po przedstawieniu szczegółów przez Wykonawcę podczas analizy przedwdrożeniowej.</w:t>
      </w:r>
    </w:p>
    <w:p w14:paraId="18DB89A1" w14:textId="77777777" w:rsidR="004509AD" w:rsidRPr="00116F6D" w:rsidRDefault="004509AD" w:rsidP="004509AD">
      <w:pPr>
        <w:jc w:val="both"/>
        <w:rPr>
          <w:sz w:val="22"/>
          <w:szCs w:val="22"/>
        </w:rPr>
      </w:pPr>
      <w:r w:rsidRPr="00116F6D">
        <w:rPr>
          <w:sz w:val="22"/>
          <w:szCs w:val="22"/>
          <w:u w:val="single"/>
        </w:rPr>
        <w:t>Pytanie 3.</w:t>
      </w:r>
      <w:r w:rsidRPr="00116F6D">
        <w:rPr>
          <w:sz w:val="22"/>
          <w:szCs w:val="22"/>
        </w:rPr>
        <w:tab/>
        <w:t>W kontekście pytania powyżej Wykonawca stwierdza także, że udostępnione na str. 12 OPZ Informacje dotyczące serwerów,  Systemu wirtualizacji, Systemu bazodanowego są dalece niewystarczające do poprawnego funkcjonowanie trzech olbrzymich systemów (HIS, ERP, PACS).</w:t>
      </w:r>
    </w:p>
    <w:p w14:paraId="393BA8ED" w14:textId="77777777" w:rsidR="004509AD" w:rsidRPr="00116F6D" w:rsidRDefault="004509AD" w:rsidP="004509AD">
      <w:pPr>
        <w:jc w:val="both"/>
        <w:rPr>
          <w:sz w:val="22"/>
          <w:szCs w:val="22"/>
        </w:rPr>
      </w:pPr>
      <w:r w:rsidRPr="00116F6D">
        <w:rPr>
          <w:sz w:val="22"/>
          <w:szCs w:val="22"/>
        </w:rPr>
        <w:t xml:space="preserve">Mając na uwadze powyższe wnioskuje o uzupełnienie przedmiotu zamówienia o minimalne parametry techniczne urządzeń serwerowych na poziomie adekwatnym do zamawianego Oprogramowania Aplikacyjnego. </w:t>
      </w:r>
    </w:p>
    <w:p w14:paraId="40CC51DB" w14:textId="77777777" w:rsidR="004509AD" w:rsidRPr="00116F6D" w:rsidRDefault="004509AD" w:rsidP="004509AD">
      <w:pPr>
        <w:jc w:val="both"/>
        <w:rPr>
          <w:sz w:val="22"/>
          <w:szCs w:val="22"/>
        </w:rPr>
      </w:pPr>
      <w:r w:rsidRPr="00116F6D">
        <w:rPr>
          <w:sz w:val="22"/>
          <w:szCs w:val="22"/>
        </w:rPr>
        <w:t>ODP: Zamawiający wskazał w dokumencie OPZ parametry obecnego środowiska informatycznego wykorzystywanego do utrzymania systemów. Nie znając wymagań sprzętowych i programowych Wykonawcy, Zamawiający nie jest wstanie wskazać adekwatnego sprzętu do oczekiwań Wykonawcy z powodu braku wiedzy o rodzaju oprogramowania które zamierza wdrażać Wykonawca.</w:t>
      </w:r>
    </w:p>
    <w:p w14:paraId="796D1C84" w14:textId="77777777" w:rsidR="004509AD" w:rsidRPr="00116F6D" w:rsidRDefault="004509AD" w:rsidP="004509AD">
      <w:pPr>
        <w:jc w:val="both"/>
        <w:rPr>
          <w:sz w:val="22"/>
          <w:szCs w:val="22"/>
        </w:rPr>
      </w:pPr>
      <w:r w:rsidRPr="00116F6D">
        <w:rPr>
          <w:sz w:val="22"/>
          <w:szCs w:val="22"/>
          <w:u w:val="single"/>
        </w:rPr>
        <w:t>Pytanie nr 149</w:t>
      </w:r>
      <w:r w:rsidRPr="00116F6D">
        <w:rPr>
          <w:sz w:val="22"/>
          <w:szCs w:val="22"/>
        </w:rPr>
        <w:t xml:space="preserve"> Dotyczy Załącznik nr 4 do SWZ Umowa, § 7 ust. 10</w:t>
      </w:r>
    </w:p>
    <w:p w14:paraId="69EBEB9D" w14:textId="77777777" w:rsidR="004509AD" w:rsidRPr="00116F6D" w:rsidRDefault="004509AD" w:rsidP="004509AD">
      <w:pPr>
        <w:jc w:val="both"/>
        <w:rPr>
          <w:sz w:val="22"/>
          <w:szCs w:val="22"/>
        </w:rPr>
      </w:pPr>
      <w:r w:rsidRPr="00116F6D">
        <w:rPr>
          <w:sz w:val="22"/>
          <w:szCs w:val="22"/>
        </w:rPr>
        <w:t>„10. Wykonawca oświadcza, że nabywana przez Zamawiającego infrastruktura jest wystarczająca do wykonania i korzystania z Systemu, co najmniej do upływu okresu udzielonej gwarancji, bez dodatkowych kosztów po stronie Zamawiającego.”</w:t>
      </w:r>
    </w:p>
    <w:p w14:paraId="1ABAC306" w14:textId="77777777" w:rsidR="004509AD" w:rsidRPr="00116F6D" w:rsidRDefault="004509AD" w:rsidP="004509AD">
      <w:pPr>
        <w:jc w:val="both"/>
        <w:rPr>
          <w:sz w:val="22"/>
          <w:szCs w:val="22"/>
        </w:rPr>
      </w:pPr>
      <w:r w:rsidRPr="00116F6D">
        <w:rPr>
          <w:sz w:val="22"/>
          <w:szCs w:val="22"/>
        </w:rPr>
        <w:t xml:space="preserve">Zamawiający poprzez zapis próbuje zrzucić odpowiedzialność za nieprecyzyjnie sformułowany opis przedmiotu zamówienia na Wykonawcę, co stanowi naruszenie równowagi stron zawieranej umowy. Wobec powyższego prosimy Zamawiającego o wykreślenie ze wzoru umowy powyższego zapisu.  </w:t>
      </w:r>
    </w:p>
    <w:p w14:paraId="09D8809E" w14:textId="77777777" w:rsidR="004509AD" w:rsidRPr="00116F6D" w:rsidRDefault="004509AD" w:rsidP="004509AD">
      <w:pPr>
        <w:jc w:val="both"/>
        <w:rPr>
          <w:sz w:val="22"/>
          <w:szCs w:val="22"/>
        </w:rPr>
      </w:pPr>
      <w:r w:rsidRPr="00116F6D">
        <w:rPr>
          <w:sz w:val="22"/>
          <w:szCs w:val="22"/>
        </w:rPr>
        <w:t xml:space="preserve">ODP: Zgodnie z SWZ - Zamawiający nie znając technologii, wymagań sprzętowych oraz oczekiwań dla poszczególnych dostawców nie jest w stanie określić na tym etapie postępowania możliwości udostępnienia infrastruktury Zamawiającego z powodu braku wiedzy o wymaganiach każdego z potencjalnych Wykonawców. Dlatego też, Zamawiający przewidział etap Analizy przedwdrożeniowej podczas którego z wybranym Wykonawcą zostaną indywidualnie określone możliwości Zamawiającego w nawiązaniu do zdefiniowanych potrzeb Wykonawcy. Należy też zwrócić szczególną uwagę na aspekt związany z bezpieczeństwem teleinformatycznym - Zamawiający jako Operator Usług Kluczowych w rozumieniu Ustawy z dnia 5 lipca 2018 r. o krajowym systemie </w:t>
      </w:r>
      <w:proofErr w:type="spellStart"/>
      <w:r w:rsidRPr="00116F6D">
        <w:rPr>
          <w:sz w:val="22"/>
          <w:szCs w:val="22"/>
        </w:rPr>
        <w:t>cyberbezpieczeństwa</w:t>
      </w:r>
      <w:proofErr w:type="spellEnd"/>
      <w:r w:rsidRPr="00116F6D">
        <w:rPr>
          <w:sz w:val="22"/>
          <w:szCs w:val="22"/>
        </w:rPr>
        <w:t xml:space="preserve"> (</w:t>
      </w:r>
      <w:proofErr w:type="spellStart"/>
      <w:r w:rsidRPr="00116F6D">
        <w:rPr>
          <w:sz w:val="22"/>
          <w:szCs w:val="22"/>
        </w:rPr>
        <w:t>t.j</w:t>
      </w:r>
      <w:proofErr w:type="spellEnd"/>
      <w:r w:rsidRPr="00116F6D">
        <w:rPr>
          <w:sz w:val="22"/>
          <w:szCs w:val="22"/>
        </w:rPr>
        <w:t xml:space="preserve">. Dz. U. z 2023 r. poz. 913) musi zwracać szczególną uwagę na ochronę danych medycznych, a udostępnienie w Internecie w dokumencie OPZ szczegółowego opisu infrastruktury Zamawiającego,  metod i sposobów zabezpieczeń wynikających z zastosowanego sprzętu i rozwiązań technicznych naraża Zamawiającego na spersonalizowany i dedykowany atak na podatności, które mogą pojawić się lub pojawiają się w konkretnych rozwiązaniach technicznych. Jedną z podstawowych zasad </w:t>
      </w:r>
      <w:proofErr w:type="spellStart"/>
      <w:r w:rsidRPr="00116F6D">
        <w:rPr>
          <w:sz w:val="22"/>
          <w:szCs w:val="22"/>
        </w:rPr>
        <w:t>cyberbezpiczeństwa</w:t>
      </w:r>
      <w:proofErr w:type="spellEnd"/>
      <w:r w:rsidRPr="00116F6D">
        <w:rPr>
          <w:sz w:val="22"/>
          <w:szCs w:val="22"/>
        </w:rPr>
        <w:t xml:space="preserve"> jest ograniczenie informacji o infrastrukturze tak żeby maksymalnie utrudnić a wręcz uniemożliwić potencjalny atak. </w:t>
      </w:r>
      <w:proofErr w:type="spellStart"/>
      <w:r w:rsidRPr="00116F6D">
        <w:rPr>
          <w:sz w:val="22"/>
          <w:szCs w:val="22"/>
        </w:rPr>
        <w:t>Cyberbezpieczeństwo</w:t>
      </w:r>
      <w:proofErr w:type="spellEnd"/>
      <w:r w:rsidRPr="00116F6D">
        <w:rPr>
          <w:sz w:val="22"/>
          <w:szCs w:val="22"/>
        </w:rPr>
        <w:t xml:space="preserve"> w ochronie zdrowia jest jednym z kluczowych aspektów bezpieczeństwa  - szczególnie w zakresie Operatorów Usług Kluczowych jakim jest Zamawiający. Dlatego też, zgodnie ze swoją wiedza Zamawiający udzielił niezbędnych informacji które Wykonawca jest w stanie wykorzystać do przygotowania oferty ze szczególnym uwzględnieniem obecnej infrastruktury wykorzystywanej w środowisku informatycznym dla usług medycznych oraz dodatkowego sprzętu np. komputery, punkty dostępowe </w:t>
      </w:r>
      <w:proofErr w:type="spellStart"/>
      <w:r w:rsidRPr="00116F6D">
        <w:rPr>
          <w:sz w:val="22"/>
          <w:szCs w:val="22"/>
        </w:rPr>
        <w:t>WiFi</w:t>
      </w:r>
      <w:proofErr w:type="spellEnd"/>
      <w:r w:rsidRPr="00116F6D">
        <w:rPr>
          <w:sz w:val="22"/>
          <w:szCs w:val="22"/>
        </w:rPr>
        <w:t xml:space="preserve"> itp. których to dostawy Zamawiający oczekuje w ramach niniejszego postępowania.</w:t>
      </w:r>
    </w:p>
    <w:p w14:paraId="51CAF328" w14:textId="77777777" w:rsidR="004509AD" w:rsidRPr="00116F6D" w:rsidRDefault="004509AD" w:rsidP="004509AD">
      <w:pPr>
        <w:jc w:val="both"/>
        <w:rPr>
          <w:sz w:val="22"/>
          <w:szCs w:val="22"/>
        </w:rPr>
      </w:pPr>
      <w:r w:rsidRPr="00116F6D">
        <w:rPr>
          <w:sz w:val="22"/>
          <w:szCs w:val="22"/>
        </w:rPr>
        <w:t xml:space="preserve">Z jednej strony Zamawiający potwierdza, że już dysponuje  infrastrukturą niezbędną do zbudowania architektury HA. Z drugiej dokonuje jej rozbudowy „celem zestawienia replikacji/klastra wysokiej dostępności z posiadanymi przez Zamawiającego macierzami </w:t>
      </w:r>
      <w:proofErr w:type="spellStart"/>
      <w:r w:rsidRPr="00116F6D">
        <w:rPr>
          <w:sz w:val="22"/>
          <w:szCs w:val="22"/>
        </w:rPr>
        <w:t>Huawei</w:t>
      </w:r>
      <w:proofErr w:type="spellEnd"/>
      <w:r w:rsidRPr="00116F6D">
        <w:rPr>
          <w:sz w:val="22"/>
          <w:szCs w:val="22"/>
        </w:rPr>
        <w:t xml:space="preserve"> </w:t>
      </w:r>
      <w:proofErr w:type="spellStart"/>
      <w:r w:rsidRPr="00116F6D">
        <w:rPr>
          <w:sz w:val="22"/>
          <w:szCs w:val="22"/>
        </w:rPr>
        <w:t>OceanStor</w:t>
      </w:r>
      <w:proofErr w:type="spellEnd"/>
      <w:r w:rsidRPr="00116F6D">
        <w:rPr>
          <w:sz w:val="22"/>
          <w:szCs w:val="22"/>
        </w:rPr>
        <w:t xml:space="preserve"> 2600 V3” i oczekuje na dostarczenia na macierz 3 letniej gwarancji, której w konsekwencji, że produkt przechodzi w status EOL nabyć u producenta się nie da. Z trzeciej informuje, że o tym czy rozwiązanie założone przez Wykonawcę w ofercie obędzie zadowalające zdecyduje na etapie analizy przedwdrożeniowej.</w:t>
      </w:r>
    </w:p>
    <w:p w14:paraId="71DF237D" w14:textId="77777777" w:rsidR="004509AD" w:rsidRPr="00116F6D" w:rsidRDefault="004509AD" w:rsidP="004509AD">
      <w:pPr>
        <w:jc w:val="both"/>
        <w:rPr>
          <w:sz w:val="22"/>
          <w:szCs w:val="22"/>
        </w:rPr>
      </w:pPr>
      <w:r w:rsidRPr="00116F6D">
        <w:rPr>
          <w:sz w:val="22"/>
          <w:szCs w:val="22"/>
        </w:rPr>
        <w:t xml:space="preserve">Ponadto oczekuje że Wykonawca dostarczy 3 olbrzymie systemy informatyczne z historią danych z 2 dekad i zainstaluje je na serwerach nie pozwalających na instalację żadnego systemu operacyjnego obecnie wpieranego przez producentów, jak również HIS działającego w nowych technologiach w oparciu o przeglądarki internetowe. </w:t>
      </w:r>
    </w:p>
    <w:p w14:paraId="18616A13" w14:textId="77777777" w:rsidR="004509AD" w:rsidRPr="00116F6D" w:rsidRDefault="004509AD" w:rsidP="004509AD">
      <w:pPr>
        <w:jc w:val="both"/>
        <w:rPr>
          <w:sz w:val="22"/>
          <w:szCs w:val="22"/>
        </w:rPr>
      </w:pPr>
      <w:r w:rsidRPr="00116F6D">
        <w:rPr>
          <w:noProof/>
          <w:sz w:val="22"/>
          <w:szCs w:val="22"/>
        </w:rPr>
        <w:lastRenderedPageBreak/>
        <w:drawing>
          <wp:inline distT="0" distB="0" distL="0" distR="0" wp14:anchorId="26CC7403" wp14:editId="0C8B6864">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C2F1186" w14:textId="77777777" w:rsidR="004509AD" w:rsidRPr="00116F6D" w:rsidRDefault="004509AD" w:rsidP="004509AD">
      <w:pPr>
        <w:jc w:val="both"/>
        <w:rPr>
          <w:b/>
          <w:bCs/>
          <w:sz w:val="22"/>
          <w:szCs w:val="22"/>
        </w:rPr>
      </w:pPr>
      <w:r w:rsidRPr="00116F6D">
        <w:rPr>
          <w:b/>
          <w:bCs/>
          <w:sz w:val="22"/>
          <w:szCs w:val="22"/>
        </w:rPr>
        <w:t>Mając na uwadze powyższe Wykonawca zwraca uwagę, że różnice w cenach ofert wynikające tylko z tego zaniechania Zamawiającego mogą wynieść ok miliona PLN. Wykonawca całkowicie zgadze się z wyjaśnieniem Zamawiającego zamieszczonym w odpowiedzi na pytanie 252 -cyt. „Analiza nie ma na celu wskazanie czy Wykonawca będzie w stanie wykonać zamówienie {…} ponieważ wiedzą w tym zakresie Wykonawca musi dysponować w dniu składania ofert.</w:t>
      </w:r>
    </w:p>
    <w:p w14:paraId="64C02B7A" w14:textId="77777777" w:rsidR="004509AD" w:rsidRPr="00116F6D" w:rsidRDefault="004509AD" w:rsidP="004509AD">
      <w:pPr>
        <w:jc w:val="both"/>
        <w:rPr>
          <w:b/>
          <w:bCs/>
          <w:sz w:val="22"/>
          <w:szCs w:val="22"/>
        </w:rPr>
      </w:pPr>
      <w:r w:rsidRPr="00116F6D">
        <w:rPr>
          <w:b/>
          <w:bCs/>
          <w:sz w:val="22"/>
          <w:szCs w:val="22"/>
        </w:rPr>
        <w:t xml:space="preserve">Wykonawca wzywa Zamawiającego do zamieszczenia w OPZ parametrów Serwerów aplikacyjnych,  serwerów bazodanowych oraz macierzy dyskowej, które spełnią wymagania minimalne Zamawiającego. Rolą Wykonawcy będzie ich zwiększenie lub uzupełnienie, jeżeli uzna je za niewystarczające dla architektury oferowanego przez siebie systemu. Zapewni to jednak możliwość złożenia w postępowaniu ważnych i porównywalnych ofert co w świetle obecnych zapisów OPZ jest niemożliwe.   </w:t>
      </w:r>
    </w:p>
    <w:p w14:paraId="077CCDBC" w14:textId="77777777" w:rsidR="00BA4867" w:rsidRPr="00BA4867" w:rsidRDefault="007B0F45" w:rsidP="00BA4867">
      <w:pPr>
        <w:pStyle w:val="Tekstpodstawowy"/>
        <w:spacing w:before="178"/>
        <w:jc w:val="both"/>
        <w:rPr>
          <w:rFonts w:asciiTheme="minorHAnsi" w:hAnsiTheme="minorHAnsi" w:cstheme="minorHAnsi"/>
          <w:b/>
          <w:bCs/>
          <w:sz w:val="20"/>
          <w:lang w:eastAsia="en-US"/>
        </w:rPr>
      </w:pPr>
      <w:r w:rsidRPr="00116F6D">
        <w:rPr>
          <w:b/>
          <w:bCs/>
          <w:sz w:val="22"/>
          <w:szCs w:val="22"/>
        </w:rPr>
        <w:t>Stanowisko (wyjaśnienie) Zamawiającego:</w:t>
      </w:r>
      <w:r w:rsidR="00BA4867">
        <w:rPr>
          <w:b/>
          <w:bCs/>
          <w:sz w:val="22"/>
          <w:szCs w:val="22"/>
        </w:rPr>
        <w:t xml:space="preserve"> </w:t>
      </w:r>
      <w:r w:rsidR="00BA4867" w:rsidRPr="00BA4867">
        <w:rPr>
          <w:rFonts w:asciiTheme="minorHAnsi" w:hAnsiTheme="minorHAnsi" w:cstheme="minorHAnsi"/>
          <w:b/>
          <w:bCs/>
          <w:sz w:val="20"/>
          <w:lang w:eastAsia="en-US"/>
        </w:rPr>
        <w:t>w ramach niniejszego postępowania i na potrzeby implementacji oprogramowania HIS/ERP/VNA/PACS Zamawiający wymaga od Wykonawcy dostarczenia infrastruktury w oparciu o rozwiązania wysokiej dostępności, zapewniające ciągłość i nieprzerwany dostęp do danych i aplikacji. Wykonawca musi dostarczyć minimum:</w:t>
      </w:r>
    </w:p>
    <w:p w14:paraId="59ED6AD4" w14:textId="77777777" w:rsidR="00BA4867" w:rsidRPr="00BA4867" w:rsidRDefault="00BA4867" w:rsidP="00BA4867">
      <w:pPr>
        <w:widowControl w:val="0"/>
        <w:numPr>
          <w:ilvl w:val="0"/>
          <w:numId w:val="14"/>
        </w:numPr>
        <w:autoSpaceDE w:val="0"/>
        <w:autoSpaceDN w:val="0"/>
        <w:spacing w:before="178" w:after="200" w:line="276" w:lineRule="auto"/>
        <w:jc w:val="both"/>
        <w:rPr>
          <w:rFonts w:asciiTheme="minorHAnsi" w:hAnsiTheme="minorHAnsi" w:cstheme="minorHAnsi"/>
          <w:b/>
          <w:bCs/>
          <w:u w:val="single"/>
          <w:lang w:eastAsia="en-US"/>
        </w:rPr>
      </w:pPr>
      <w:r w:rsidRPr="00BA4867">
        <w:rPr>
          <w:rFonts w:asciiTheme="minorHAnsi" w:hAnsiTheme="minorHAnsi" w:cstheme="minorHAnsi"/>
          <w:b/>
          <w:bCs/>
          <w:u w:val="single"/>
          <w:lang w:eastAsia="en-US"/>
        </w:rPr>
        <w:t>Serwery aplikacyjne (2szt) w układzie klastra wysokiej dostępności, wraz z niezbędnym do tego oprogramowaniem i licencjami.</w:t>
      </w:r>
    </w:p>
    <w:p w14:paraId="04283670" w14:textId="77777777" w:rsidR="00BA4867" w:rsidRPr="00BA4867" w:rsidRDefault="00BA4867" w:rsidP="00BA4867">
      <w:pPr>
        <w:widowControl w:val="0"/>
        <w:numPr>
          <w:ilvl w:val="0"/>
          <w:numId w:val="14"/>
        </w:numPr>
        <w:autoSpaceDE w:val="0"/>
        <w:autoSpaceDN w:val="0"/>
        <w:spacing w:before="178" w:after="200" w:line="276" w:lineRule="auto"/>
        <w:jc w:val="both"/>
        <w:rPr>
          <w:rFonts w:asciiTheme="minorHAnsi" w:hAnsiTheme="minorHAnsi" w:cstheme="minorHAnsi"/>
          <w:b/>
          <w:bCs/>
          <w:u w:val="single"/>
          <w:lang w:eastAsia="en-US"/>
        </w:rPr>
      </w:pPr>
      <w:r w:rsidRPr="00BA4867">
        <w:rPr>
          <w:rFonts w:asciiTheme="minorHAnsi" w:hAnsiTheme="minorHAnsi" w:cstheme="minorHAnsi"/>
          <w:b/>
          <w:bCs/>
          <w:u w:val="single"/>
          <w:lang w:eastAsia="en-US"/>
        </w:rPr>
        <w:t>Serwery bazodanowe (2szt) w układzie klastra wysokiej dostępności, wraz z niezbędnym do tego oprogramowaniem i licencjami.</w:t>
      </w:r>
    </w:p>
    <w:p w14:paraId="15BD1DFD" w14:textId="77777777" w:rsidR="00BA4867" w:rsidRPr="00BA4867" w:rsidRDefault="00BA4867" w:rsidP="00BA4867">
      <w:pPr>
        <w:widowControl w:val="0"/>
        <w:numPr>
          <w:ilvl w:val="0"/>
          <w:numId w:val="14"/>
        </w:numPr>
        <w:autoSpaceDE w:val="0"/>
        <w:autoSpaceDN w:val="0"/>
        <w:spacing w:before="178" w:after="200" w:line="276" w:lineRule="auto"/>
        <w:jc w:val="both"/>
        <w:rPr>
          <w:rFonts w:asciiTheme="minorHAnsi" w:hAnsiTheme="minorHAnsi" w:cstheme="minorHAnsi"/>
          <w:b/>
          <w:bCs/>
          <w:u w:val="single"/>
          <w:lang w:eastAsia="en-US"/>
        </w:rPr>
      </w:pPr>
      <w:r w:rsidRPr="00BA4867">
        <w:rPr>
          <w:rFonts w:asciiTheme="minorHAnsi" w:hAnsiTheme="minorHAnsi" w:cstheme="minorHAnsi"/>
          <w:b/>
          <w:bCs/>
          <w:u w:val="single"/>
          <w:lang w:eastAsia="en-US"/>
        </w:rPr>
        <w:t>Przełączniki sieciowe SAN/</w:t>
      </w:r>
      <w:proofErr w:type="spellStart"/>
      <w:r w:rsidRPr="00BA4867">
        <w:rPr>
          <w:rFonts w:asciiTheme="minorHAnsi" w:hAnsiTheme="minorHAnsi" w:cstheme="minorHAnsi"/>
          <w:b/>
          <w:bCs/>
          <w:u w:val="single"/>
          <w:lang w:eastAsia="en-US"/>
        </w:rPr>
        <w:t>iSCSI</w:t>
      </w:r>
      <w:proofErr w:type="spellEnd"/>
      <w:r w:rsidRPr="00BA4867">
        <w:rPr>
          <w:rFonts w:asciiTheme="minorHAnsi" w:hAnsiTheme="minorHAnsi" w:cstheme="minorHAnsi"/>
          <w:b/>
          <w:bCs/>
          <w:u w:val="single"/>
          <w:lang w:eastAsia="en-US"/>
        </w:rPr>
        <w:t xml:space="preserve"> (2szt)</w:t>
      </w:r>
    </w:p>
    <w:p w14:paraId="13342856" w14:textId="77777777" w:rsidR="00BA4867" w:rsidRPr="00BA4867" w:rsidRDefault="00BA4867" w:rsidP="00BA4867">
      <w:pPr>
        <w:widowControl w:val="0"/>
        <w:numPr>
          <w:ilvl w:val="0"/>
          <w:numId w:val="14"/>
        </w:numPr>
        <w:autoSpaceDE w:val="0"/>
        <w:autoSpaceDN w:val="0"/>
        <w:spacing w:before="178" w:after="200" w:line="276" w:lineRule="auto"/>
        <w:jc w:val="both"/>
        <w:rPr>
          <w:rFonts w:asciiTheme="minorHAnsi" w:hAnsiTheme="minorHAnsi" w:cstheme="minorHAnsi"/>
          <w:b/>
          <w:bCs/>
          <w:u w:val="single"/>
          <w:lang w:eastAsia="en-US"/>
        </w:rPr>
      </w:pPr>
      <w:r w:rsidRPr="00BA4867">
        <w:rPr>
          <w:rFonts w:asciiTheme="minorHAnsi" w:hAnsiTheme="minorHAnsi" w:cstheme="minorHAnsi"/>
          <w:b/>
          <w:bCs/>
          <w:u w:val="single"/>
          <w:lang w:eastAsia="en-US"/>
        </w:rPr>
        <w:t>Macierze dyskowe (2szt) w układzie synchronicznej replikacji danych wraz z niezbędnym do tego oprogramowaniem i licencjami.</w:t>
      </w:r>
    </w:p>
    <w:p w14:paraId="52FC3246" w14:textId="77777777" w:rsidR="00BA4867" w:rsidRPr="00BA4867" w:rsidRDefault="00BA4867" w:rsidP="00BA4867">
      <w:pPr>
        <w:spacing w:after="200"/>
        <w:jc w:val="both"/>
        <w:rPr>
          <w:rFonts w:asciiTheme="minorHAnsi" w:eastAsiaTheme="minorHAnsi" w:hAnsiTheme="minorHAnsi" w:cstheme="minorHAnsi"/>
          <w:b/>
          <w:bCs/>
          <w:u w:val="single"/>
          <w:lang w:eastAsia="en-US"/>
        </w:rPr>
      </w:pPr>
      <w:r w:rsidRPr="00BA4867">
        <w:rPr>
          <w:rFonts w:asciiTheme="minorHAnsi" w:eastAsiaTheme="minorHAnsi" w:hAnsiTheme="minorHAnsi" w:cstheme="minorHAnsi"/>
          <w:b/>
          <w:bCs/>
          <w:u w:val="single"/>
          <w:lang w:eastAsia="en-US"/>
        </w:rPr>
        <w:t>Tym samym Zamawiający określa wymagania minimalne dla powyższych rozwiązań z zastrzeżeniem, że  to na Wykonawcy spoczywa obowiązek ich weryfikacji pod kątem prawidłowego i wydajnego działania oferowanych systemów i ich ewentualnego zwiększenia pod kątem wydajności, zasobów i ilości.</w:t>
      </w:r>
    </w:p>
    <w:p w14:paraId="302188C3" w14:textId="77777777" w:rsidR="00BA4867" w:rsidRPr="00BA4867" w:rsidRDefault="00BA4867" w:rsidP="00BA4867">
      <w:pPr>
        <w:spacing w:after="200" w:line="276" w:lineRule="auto"/>
        <w:rPr>
          <w:rFonts w:asciiTheme="minorHAnsi" w:eastAsiaTheme="minorHAnsi" w:hAnsiTheme="minorHAnsi" w:cstheme="minorHAnsi"/>
          <w:b/>
          <w:lang w:eastAsia="en-US"/>
        </w:rPr>
      </w:pPr>
      <w:r w:rsidRPr="00BA4867">
        <w:rPr>
          <w:rFonts w:asciiTheme="minorHAnsi" w:eastAsiaTheme="minorHAnsi" w:hAnsiTheme="minorHAnsi" w:cstheme="minorHAnsi"/>
          <w:lang w:eastAsia="en-US"/>
        </w:rPr>
        <w:t>Tabela 1. Serwery aplikacyjne. Wymagane 2 sztuki.</w:t>
      </w:r>
    </w:p>
    <w:tbl>
      <w:tblPr>
        <w:tblW w:w="9610" w:type="dxa"/>
        <w:tblInd w:w="38" w:type="dxa"/>
        <w:tblLook w:val="01E0" w:firstRow="1" w:lastRow="1" w:firstColumn="1" w:lastColumn="1" w:noHBand="0" w:noVBand="0"/>
      </w:tblPr>
      <w:tblGrid>
        <w:gridCol w:w="2500"/>
        <w:gridCol w:w="7110"/>
      </w:tblGrid>
      <w:tr w:rsidR="00BA4867" w:rsidRPr="00BA4867" w14:paraId="0580FE3A" w14:textId="77777777" w:rsidTr="00ED2950">
        <w:tc>
          <w:tcPr>
            <w:tcW w:w="2500" w:type="dxa"/>
            <w:tcBorders>
              <w:top w:val="single" w:sz="4" w:space="0" w:color="auto"/>
              <w:left w:val="single" w:sz="4" w:space="0" w:color="auto"/>
              <w:bottom w:val="single" w:sz="4" w:space="0" w:color="auto"/>
              <w:right w:val="single" w:sz="4" w:space="0" w:color="auto"/>
            </w:tcBorders>
          </w:tcPr>
          <w:p w14:paraId="118878CF"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b/>
                <w:lang w:eastAsia="en-US"/>
              </w:rPr>
            </w:pPr>
            <w:r w:rsidRPr="00BA4867">
              <w:rPr>
                <w:rFonts w:asciiTheme="minorHAnsi" w:eastAsiaTheme="minorHAnsi" w:hAnsiTheme="minorHAnsi" w:cstheme="minorHAnsi"/>
                <w:b/>
                <w:lang w:eastAsia="en-US"/>
              </w:rPr>
              <w:t>Element konfiguracji</w:t>
            </w:r>
          </w:p>
        </w:tc>
        <w:tc>
          <w:tcPr>
            <w:tcW w:w="7110" w:type="dxa"/>
            <w:tcBorders>
              <w:top w:val="single" w:sz="4" w:space="0" w:color="auto"/>
              <w:left w:val="single" w:sz="4" w:space="0" w:color="auto"/>
              <w:bottom w:val="single" w:sz="4" w:space="0" w:color="auto"/>
              <w:right w:val="single" w:sz="4" w:space="0" w:color="auto"/>
            </w:tcBorders>
          </w:tcPr>
          <w:p w14:paraId="3B8F5A1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b/>
                <w:lang w:eastAsia="en-US"/>
              </w:rPr>
            </w:pPr>
            <w:r w:rsidRPr="00BA4867">
              <w:rPr>
                <w:rFonts w:asciiTheme="minorHAnsi" w:eastAsiaTheme="minorHAnsi" w:hAnsiTheme="minorHAnsi" w:cstheme="minorHAnsi"/>
                <w:b/>
                <w:lang w:eastAsia="en-US"/>
              </w:rPr>
              <w:t>Wymagania minimalne</w:t>
            </w:r>
          </w:p>
        </w:tc>
      </w:tr>
      <w:tr w:rsidR="00BA4867" w:rsidRPr="00BA4867" w14:paraId="48760C9A"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40A5BBE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Obudowa</w:t>
            </w:r>
          </w:p>
        </w:tc>
        <w:tc>
          <w:tcPr>
            <w:tcW w:w="7110" w:type="dxa"/>
          </w:tcPr>
          <w:p w14:paraId="31277087"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Maksymalnie 1U RACK 19 cali wraz z szynami montażowymi.</w:t>
            </w:r>
          </w:p>
          <w:p w14:paraId="5114C76E"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Serwer z możliwością zamontowania czujnika otwarcia obudowy współpracującego z BIOS/UEFI.</w:t>
            </w:r>
          </w:p>
          <w:p w14:paraId="25339F61"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zainstalowania modułu TPM 2.0</w:t>
            </w:r>
          </w:p>
        </w:tc>
      </w:tr>
      <w:tr w:rsidR="00BA4867" w:rsidRPr="00BA4867" w14:paraId="72C17338"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3CE4AE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Procesor</w:t>
            </w:r>
          </w:p>
          <w:p w14:paraId="4C1C93C0" w14:textId="77777777" w:rsidR="00BA4867" w:rsidRPr="00BA4867" w:rsidRDefault="00BA4867" w:rsidP="00BA4867">
            <w:pPr>
              <w:spacing w:after="200" w:line="276" w:lineRule="auto"/>
              <w:rPr>
                <w:rFonts w:asciiTheme="minorHAnsi" w:eastAsiaTheme="minorHAnsi" w:hAnsiTheme="minorHAnsi" w:cstheme="minorHAnsi"/>
                <w:lang w:eastAsia="en-US"/>
              </w:rPr>
            </w:pPr>
          </w:p>
        </w:tc>
        <w:tc>
          <w:tcPr>
            <w:tcW w:w="7110" w:type="dxa"/>
          </w:tcPr>
          <w:p w14:paraId="7F5D151F"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 xml:space="preserve">Jeden procesor 8-rdzeniowy, x86 - 64 bity, Intel Xeon 4309Y (2.8GHz/8-core/105W) lub równoważny procesor 8-rdzeniowy, osiągający w testach SPECrate2017_int_base powyżej 133 punktów w konfiguracji dwuprocesorowej. W przypadku zaoferowania </w:t>
            </w:r>
            <w:r w:rsidRPr="00BA4867">
              <w:rPr>
                <w:rFonts w:asciiTheme="minorHAnsi" w:eastAsiaTheme="minorHAnsi" w:hAnsiTheme="minorHAnsi" w:cstheme="minorHAnsi"/>
                <w:lang w:eastAsia="en-US"/>
              </w:rPr>
              <w:lastRenderedPageBreak/>
              <w:t xml:space="preserve">procesora równoważnego, wynik testu musi być opublikowany na stronie </w:t>
            </w:r>
            <w:r w:rsidRPr="00BA4867">
              <w:rPr>
                <w:rFonts w:asciiTheme="minorHAnsi" w:eastAsiaTheme="minorHAnsi" w:hAnsiTheme="minorHAnsi" w:cstheme="minorHAnsi"/>
                <w:u w:val="single"/>
                <w:lang w:eastAsia="en-US"/>
              </w:rPr>
              <w:t>www.spec.org.</w:t>
            </w:r>
          </w:p>
          <w:p w14:paraId="31004770"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Płyta główna wspierająca zastosowanie procesorów od 8 do 40 rdzeniowych, mocy do min. 270W i taktowaniu CPU do min. 3.4GHz.</w:t>
            </w:r>
          </w:p>
        </w:tc>
      </w:tr>
      <w:tr w:rsidR="00BA4867" w:rsidRPr="00BA4867" w14:paraId="46786664"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26E1BE4"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Liczba procesorów</w:t>
            </w:r>
          </w:p>
        </w:tc>
        <w:tc>
          <w:tcPr>
            <w:tcW w:w="7110" w:type="dxa"/>
          </w:tcPr>
          <w:p w14:paraId="5530A6B6"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Min. 1 procesor, możliwość rozbudowy do 2 procesorów. </w:t>
            </w:r>
          </w:p>
        </w:tc>
      </w:tr>
      <w:tr w:rsidR="00BA4867" w:rsidRPr="00BA4867" w14:paraId="5FA98D8D"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3FCE5B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Pamięć operacyjna</w:t>
            </w:r>
          </w:p>
        </w:tc>
        <w:tc>
          <w:tcPr>
            <w:tcW w:w="7110" w:type="dxa"/>
          </w:tcPr>
          <w:p w14:paraId="68067493"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512 GB RDIMM DDR4 3200 MT/s w modułach o pojemności minimum 64GB każdy.</w:t>
            </w:r>
          </w:p>
          <w:p w14:paraId="5AB32157"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Płyta główna z minimum 32 slotami na pamięć i umożliwiająca instalację minimum 8TB pamięci RAM. Płyta główna z fabrycznym oznaczeniem logo producenta (dopuszcza się logo producenta na module zarządzania trwale zintegrowanym na płycie głównej).</w:t>
            </w:r>
          </w:p>
          <w:p w14:paraId="2512DCB3"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val="en-GB" w:eastAsia="en-US"/>
              </w:rPr>
            </w:pPr>
            <w:proofErr w:type="spellStart"/>
            <w:r w:rsidRPr="00BA4867">
              <w:rPr>
                <w:rFonts w:asciiTheme="minorHAnsi" w:eastAsiaTheme="minorHAnsi" w:hAnsiTheme="minorHAnsi" w:cstheme="minorHAnsi"/>
                <w:lang w:val="en-GB" w:eastAsia="en-US"/>
              </w:rPr>
              <w:t>Obsługa</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zabezpieczeń</w:t>
            </w:r>
            <w:proofErr w:type="spellEnd"/>
            <w:r w:rsidRPr="00BA4867">
              <w:rPr>
                <w:rFonts w:asciiTheme="minorHAnsi" w:eastAsiaTheme="minorHAnsi" w:hAnsiTheme="minorHAnsi" w:cstheme="minorHAnsi"/>
                <w:lang w:val="en-GB" w:eastAsia="en-US"/>
              </w:rPr>
              <w:t>: Advanced ECC, Online Spare (Rank Sparing).</w:t>
            </w:r>
          </w:p>
        </w:tc>
      </w:tr>
      <w:tr w:rsidR="00BA4867" w:rsidRPr="00BA4867" w14:paraId="5FB28416"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6A841DA"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roofErr w:type="spellStart"/>
            <w:r w:rsidRPr="00BA4867">
              <w:rPr>
                <w:rFonts w:asciiTheme="minorHAnsi" w:eastAsiaTheme="minorHAnsi" w:hAnsiTheme="minorHAnsi" w:cstheme="minorHAnsi"/>
                <w:lang w:eastAsia="en-US"/>
              </w:rPr>
              <w:t>Sloty</w:t>
            </w:r>
            <w:proofErr w:type="spellEnd"/>
            <w:r w:rsidRPr="00BA4867">
              <w:rPr>
                <w:rFonts w:asciiTheme="minorHAnsi" w:eastAsiaTheme="minorHAnsi" w:hAnsiTheme="minorHAnsi" w:cstheme="minorHAnsi"/>
                <w:lang w:eastAsia="en-US"/>
              </w:rPr>
              <w:t xml:space="preserve"> rozszerzeń</w:t>
            </w:r>
          </w:p>
        </w:tc>
        <w:tc>
          <w:tcPr>
            <w:tcW w:w="7110" w:type="dxa"/>
          </w:tcPr>
          <w:p w14:paraId="7FF303AF"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Serwer musi być wyposażony w:</w:t>
            </w:r>
          </w:p>
          <w:p w14:paraId="28E15952"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2 aktywne gniazda PCI-Express generacji 4, każde gniazdo x16  i posiadać możliwość rozbudowy do 3 aktywnych gniazd PCI-Express generacji 4, każde gniazdo x16 (szybkość slotu – </w:t>
            </w:r>
            <w:proofErr w:type="spellStart"/>
            <w:r w:rsidRPr="00BA4867">
              <w:rPr>
                <w:rFonts w:asciiTheme="minorHAnsi" w:eastAsiaTheme="minorHAnsi" w:hAnsiTheme="minorHAnsi" w:cstheme="minorHAnsi"/>
                <w:lang w:eastAsia="en-US"/>
              </w:rPr>
              <w:t>bus</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width</w:t>
            </w:r>
            <w:proofErr w:type="spellEnd"/>
            <w:r w:rsidRPr="00BA4867">
              <w:rPr>
                <w:rFonts w:asciiTheme="minorHAnsi" w:eastAsiaTheme="minorHAnsi" w:hAnsiTheme="minorHAnsi" w:cstheme="minorHAnsi"/>
                <w:lang w:eastAsia="en-US"/>
              </w:rPr>
              <w:t xml:space="preserve">) </w:t>
            </w:r>
          </w:p>
          <w:p w14:paraId="682C654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musi mieć dodatkowo dedykowane dwa </w:t>
            </w:r>
            <w:proofErr w:type="spellStart"/>
            <w:r w:rsidRPr="00BA4867">
              <w:rPr>
                <w:rFonts w:asciiTheme="minorHAnsi" w:eastAsiaTheme="minorHAnsi" w:hAnsiTheme="minorHAnsi" w:cstheme="minorHAnsi"/>
                <w:lang w:eastAsia="en-US"/>
              </w:rPr>
              <w:t>sloty</w:t>
            </w:r>
            <w:proofErr w:type="spellEnd"/>
            <w:r w:rsidRPr="00BA4867">
              <w:rPr>
                <w:rFonts w:asciiTheme="minorHAnsi" w:eastAsiaTheme="minorHAnsi" w:hAnsiTheme="minorHAnsi" w:cstheme="minorHAnsi"/>
                <w:lang w:eastAsia="en-US"/>
              </w:rPr>
              <w:t xml:space="preserve"> PCI-Express:</w:t>
            </w:r>
          </w:p>
          <w:p w14:paraId="0A36EB8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na kontroler dyskowy;</w:t>
            </w:r>
          </w:p>
          <w:p w14:paraId="77F6687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na kartę sieciową niezajmującą slotów PCI-Express.</w:t>
            </w:r>
          </w:p>
          <w:p w14:paraId="43138A6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
        </w:tc>
      </w:tr>
      <w:tr w:rsidR="00BA4867" w:rsidRPr="00BA4867" w14:paraId="47254B32"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E822FEF"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Zasoby dyskowe</w:t>
            </w:r>
          </w:p>
          <w:p w14:paraId="4375CBE6"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
        </w:tc>
        <w:tc>
          <w:tcPr>
            <w:tcW w:w="7110" w:type="dxa"/>
          </w:tcPr>
          <w:p w14:paraId="191C1BDC"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Zatoki dyskowe gotowe do zainstalowania 8 dysków SFF typu Hot </w:t>
            </w:r>
            <w:proofErr w:type="spellStart"/>
            <w:r w:rsidRPr="00BA4867">
              <w:rPr>
                <w:rFonts w:asciiTheme="minorHAnsi" w:eastAsiaTheme="minorHAnsi" w:hAnsiTheme="minorHAnsi" w:cstheme="minorHAnsi"/>
                <w:lang w:eastAsia="en-US"/>
              </w:rPr>
              <w:t>Swap</w:t>
            </w:r>
            <w:proofErr w:type="spellEnd"/>
            <w:r w:rsidRPr="00BA4867">
              <w:rPr>
                <w:rFonts w:asciiTheme="minorHAnsi" w:eastAsiaTheme="minorHAnsi" w:hAnsiTheme="minorHAnsi" w:cstheme="minorHAnsi"/>
                <w:lang w:eastAsia="en-US"/>
              </w:rPr>
              <w:t xml:space="preserve">, SAS/SATA/SSD, 2,5” i opcja rozbudowy/rekonfiguracji o dodatkowe 2 dyski typu Hot </w:t>
            </w:r>
            <w:proofErr w:type="spellStart"/>
            <w:r w:rsidRPr="00BA4867">
              <w:rPr>
                <w:rFonts w:asciiTheme="minorHAnsi" w:eastAsiaTheme="minorHAnsi" w:hAnsiTheme="minorHAnsi" w:cstheme="minorHAnsi"/>
                <w:lang w:eastAsia="en-US"/>
              </w:rPr>
              <w:t>Swap</w:t>
            </w:r>
            <w:proofErr w:type="spellEnd"/>
            <w:r w:rsidRPr="00BA4867">
              <w:rPr>
                <w:rFonts w:asciiTheme="minorHAnsi" w:eastAsiaTheme="minorHAnsi" w:hAnsiTheme="minorHAnsi" w:cstheme="minorHAnsi"/>
                <w:lang w:eastAsia="en-US"/>
              </w:rPr>
              <w:t>, SAS/SATA/SSD, 2,5” montowane z przodu obudowy.</w:t>
            </w:r>
          </w:p>
          <w:p w14:paraId="66659093"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61684672"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umożliwiający instalację pamięci </w:t>
            </w:r>
            <w:proofErr w:type="spellStart"/>
            <w:r w:rsidRPr="00BA4867">
              <w:rPr>
                <w:rFonts w:asciiTheme="minorHAnsi" w:eastAsiaTheme="minorHAnsi" w:hAnsiTheme="minorHAnsi" w:cstheme="minorHAnsi"/>
                <w:lang w:eastAsia="en-US"/>
              </w:rPr>
              <w:t>flash</w:t>
            </w:r>
            <w:proofErr w:type="spellEnd"/>
            <w:r w:rsidRPr="00BA4867">
              <w:rPr>
                <w:rFonts w:asciiTheme="minorHAnsi" w:eastAsiaTheme="minorHAnsi" w:hAnsiTheme="minorHAnsi" w:cstheme="minorHAnsi"/>
                <w:lang w:eastAsia="en-US"/>
              </w:rPr>
              <w:t xml:space="preserve"> w postaci kart </w:t>
            </w:r>
            <w:proofErr w:type="spellStart"/>
            <w:r w:rsidRPr="00BA4867">
              <w:rPr>
                <w:rFonts w:asciiTheme="minorHAnsi" w:eastAsiaTheme="minorHAnsi" w:hAnsiTheme="minorHAnsi" w:cstheme="minorHAnsi"/>
                <w:lang w:eastAsia="en-US"/>
              </w:rPr>
              <w:t>microSD</w:t>
            </w:r>
            <w:proofErr w:type="spellEnd"/>
            <w:r w:rsidRPr="00BA4867">
              <w:rPr>
                <w:rFonts w:asciiTheme="minorHAnsi" w:eastAsiaTheme="minorHAnsi" w:hAnsiTheme="minorHAnsi" w:cstheme="minorHAnsi"/>
                <w:lang w:eastAsia="en-US"/>
              </w:rPr>
              <w:t xml:space="preserve">/SD zapewniających minimalną pojemność 32GB </w:t>
            </w:r>
            <w:r w:rsidRPr="00BA4867">
              <w:rPr>
                <w:rFonts w:asciiTheme="minorHAnsi" w:eastAsiaTheme="minorHAnsi" w:hAnsiTheme="minorHAnsi" w:cstheme="minorHAnsi"/>
                <w:lang w:eastAsia="en-US"/>
              </w:rPr>
              <w:br/>
              <w:t xml:space="preserve">i redundancję danych RAID-1. Zastosowane rozwiązanie musi posiadać gwarancję producenta serwera. </w:t>
            </w:r>
          </w:p>
          <w:p w14:paraId="78636498"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18170B9D"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wyposażony w 2 dyski 480GB SSD SATA Read </w:t>
            </w:r>
            <w:proofErr w:type="spellStart"/>
            <w:r w:rsidRPr="00BA4867">
              <w:rPr>
                <w:rFonts w:asciiTheme="minorHAnsi" w:eastAsiaTheme="minorHAnsi" w:hAnsiTheme="minorHAnsi" w:cstheme="minorHAnsi"/>
                <w:lang w:eastAsia="en-US"/>
              </w:rPr>
              <w:t>Intensive</w:t>
            </w:r>
            <w:proofErr w:type="spellEnd"/>
            <w:r w:rsidRPr="00BA4867">
              <w:rPr>
                <w:rFonts w:asciiTheme="minorHAnsi" w:eastAsiaTheme="minorHAnsi" w:hAnsiTheme="minorHAnsi" w:cstheme="minorHAnsi"/>
                <w:lang w:eastAsia="en-US"/>
              </w:rPr>
              <w:t>.</w:t>
            </w:r>
          </w:p>
        </w:tc>
      </w:tr>
      <w:tr w:rsidR="00BA4867" w:rsidRPr="00BA4867" w14:paraId="0605629B"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CC289B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Kontroler</w:t>
            </w:r>
          </w:p>
        </w:tc>
        <w:tc>
          <w:tcPr>
            <w:tcW w:w="7110" w:type="dxa"/>
          </w:tcPr>
          <w:p w14:paraId="4E2B09ED"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wyposażony w kontroler sprzętowy z min. 4GB cache z mechanizmem podtrzymywania zawartości pamięci cache w razie braku zasilania, zapewniający obsługę 16 napędów dyskowych </w:t>
            </w:r>
            <w:proofErr w:type="spellStart"/>
            <w:r w:rsidRPr="00BA4867">
              <w:rPr>
                <w:rFonts w:asciiTheme="minorHAnsi" w:eastAsiaTheme="minorHAnsi" w:hAnsiTheme="minorHAnsi" w:cstheme="minorHAnsi"/>
                <w:lang w:eastAsia="en-US"/>
              </w:rPr>
              <w:t>NVMe</w:t>
            </w:r>
            <w:proofErr w:type="spellEnd"/>
            <w:r w:rsidRPr="00BA4867">
              <w:rPr>
                <w:rFonts w:asciiTheme="minorHAnsi" w:eastAsiaTheme="minorHAnsi" w:hAnsiTheme="minorHAnsi" w:cstheme="minorHAnsi"/>
                <w:lang w:eastAsia="en-US"/>
              </w:rPr>
              <w:t>/SAS12G oraz obsługujący poziomy: RAID 0/1/10/5/50/6/60.</w:t>
            </w:r>
          </w:p>
          <w:p w14:paraId="6428A316"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Kontroler umożliwiający pracę z dyskami w trybach RAID i JBOD jednocześnie</w:t>
            </w:r>
          </w:p>
        </w:tc>
      </w:tr>
      <w:tr w:rsidR="00BA4867" w:rsidRPr="00BA4867" w14:paraId="19ACF4F1"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7A47F1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Interfejsy sieciowe</w:t>
            </w:r>
          </w:p>
        </w:tc>
        <w:tc>
          <w:tcPr>
            <w:tcW w:w="7110" w:type="dxa"/>
          </w:tcPr>
          <w:p w14:paraId="1CAC8AB2"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Serwer musi być wyposażony w:</w:t>
            </w:r>
          </w:p>
          <w:p w14:paraId="22519360"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- 1 dwuportowa karta 10/25Gb Ethernet SFP28, do kart należy dołączyć 2 sztuki wkładek 10Gb SFP+  SR;</w:t>
            </w:r>
          </w:p>
          <w:p w14:paraId="2E8F9302"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- 1 czteroportowa karta 1Gb Ethernet.</w:t>
            </w:r>
          </w:p>
          <w:p w14:paraId="550771FE"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- 1 czteroportowa karta 10/25Gb Ethernet SFP28, do kart należy dołączyć 4 sztuki wkładek 10Gb SFP+  SR;</w:t>
            </w:r>
          </w:p>
        </w:tc>
      </w:tr>
      <w:tr w:rsidR="00BA4867" w:rsidRPr="00BA4867" w14:paraId="20DEA14A"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B3D88F6"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Karta graficzna</w:t>
            </w:r>
          </w:p>
        </w:tc>
        <w:tc>
          <w:tcPr>
            <w:tcW w:w="7110" w:type="dxa"/>
          </w:tcPr>
          <w:p w14:paraId="22BBFCD1"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Zintegrowana karta graficzna</w:t>
            </w:r>
          </w:p>
        </w:tc>
      </w:tr>
      <w:tr w:rsidR="00BA4867" w:rsidRPr="00BA4867" w14:paraId="4ED2D0C1"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7DE52A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Porty</w:t>
            </w:r>
          </w:p>
        </w:tc>
        <w:tc>
          <w:tcPr>
            <w:tcW w:w="7110" w:type="dxa"/>
          </w:tcPr>
          <w:p w14:paraId="47167291"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5x USB 3.0 (w tym 2 porty wewnętrzne)</w:t>
            </w:r>
          </w:p>
          <w:p w14:paraId="4335F599"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1x VGA </w:t>
            </w:r>
          </w:p>
          <w:p w14:paraId="081BCF05"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Wewnętrzny slot na kartę micro SD.</w:t>
            </w:r>
          </w:p>
          <w:p w14:paraId="2DE19D87"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43650C0D"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rozbudowy o:</w:t>
            </w:r>
          </w:p>
          <w:p w14:paraId="168C178E"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dodatkowy port </w:t>
            </w:r>
            <w:proofErr w:type="spellStart"/>
            <w:r w:rsidRPr="00BA4867">
              <w:rPr>
                <w:rFonts w:asciiTheme="minorHAnsi" w:eastAsiaTheme="minorHAnsi" w:hAnsiTheme="minorHAnsi" w:cstheme="minorHAnsi"/>
                <w:lang w:eastAsia="en-US"/>
              </w:rPr>
              <w:t>DisplayPort</w:t>
            </w:r>
            <w:proofErr w:type="spellEnd"/>
            <w:r w:rsidRPr="00BA4867">
              <w:rPr>
                <w:rFonts w:asciiTheme="minorHAnsi" w:eastAsiaTheme="minorHAnsi" w:hAnsiTheme="minorHAnsi" w:cstheme="minorHAnsi"/>
                <w:lang w:eastAsia="en-US"/>
              </w:rPr>
              <w:t xml:space="preserve"> dostępny z przodu serwera bez stosowania jakichkolwiek przejściówek;</w:t>
            </w:r>
          </w:p>
          <w:p w14:paraId="17706B5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port szeregowy typu DB9/DE-9 (9 </w:t>
            </w:r>
            <w:proofErr w:type="spellStart"/>
            <w:r w:rsidRPr="00BA4867">
              <w:rPr>
                <w:rFonts w:asciiTheme="minorHAnsi" w:eastAsiaTheme="minorHAnsi" w:hAnsiTheme="minorHAnsi" w:cstheme="minorHAnsi"/>
                <w:lang w:eastAsia="en-US"/>
              </w:rPr>
              <w:t>pinowy</w:t>
            </w:r>
            <w:proofErr w:type="spellEnd"/>
            <w:r w:rsidRPr="00BA4867">
              <w:rPr>
                <w:rFonts w:asciiTheme="minorHAnsi" w:eastAsiaTheme="minorHAnsi" w:hAnsiTheme="minorHAnsi" w:cstheme="minorHAnsi"/>
                <w:lang w:eastAsia="en-US"/>
              </w:rPr>
              <w:t>), wyprowadzony na zewnątrz obudowy bez pośrednictwa portu USB/RJ45. Nie dopuszcza się stosowania kart PCI.</w:t>
            </w:r>
          </w:p>
        </w:tc>
      </w:tr>
      <w:tr w:rsidR="00BA4867" w:rsidRPr="00BA4867" w14:paraId="1A19EE8F"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89F6863"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Zasilacz</w:t>
            </w:r>
          </w:p>
        </w:tc>
        <w:tc>
          <w:tcPr>
            <w:tcW w:w="7110" w:type="dxa"/>
          </w:tcPr>
          <w:p w14:paraId="6674637F"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2 szt., typu Hot-plug, redundantne, każdy o mocy minimum 800W.</w:t>
            </w:r>
          </w:p>
        </w:tc>
      </w:tr>
      <w:tr w:rsidR="00BA4867" w:rsidRPr="00BA4867" w14:paraId="4E1A02F4"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6FE19B3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Chłodzenie</w:t>
            </w:r>
          </w:p>
        </w:tc>
        <w:tc>
          <w:tcPr>
            <w:tcW w:w="7110" w:type="dxa"/>
          </w:tcPr>
          <w:p w14:paraId="3D0D9BA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Zestaw wentylatorów redundantnych typu hot-plug</w:t>
            </w:r>
          </w:p>
        </w:tc>
      </w:tr>
      <w:tr w:rsidR="00BA4867" w:rsidRPr="00BA4867" w14:paraId="21EF5F97"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6F032F1"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Karta/moduł zarządzający i system zarządzania</w:t>
            </w:r>
          </w:p>
        </w:tc>
        <w:tc>
          <w:tcPr>
            <w:tcW w:w="7110" w:type="dxa"/>
            <w:vAlign w:val="center"/>
          </w:tcPr>
          <w:p w14:paraId="57DF1B65"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Niezależna od system operacyjnego, zintegrowana z płytą główną serwera lub jako dodatkowa karta w slocie PCI Express, jednak nie może ona powodować zmniejszenia </w:t>
            </w:r>
            <w:proofErr w:type="spellStart"/>
            <w:r w:rsidRPr="00BA4867">
              <w:rPr>
                <w:rFonts w:asciiTheme="minorHAnsi" w:eastAsiaTheme="minorHAnsi" w:hAnsiTheme="minorHAnsi" w:cstheme="minorHAnsi"/>
                <w:lang w:eastAsia="en-US"/>
              </w:rPr>
              <w:t>mininmalnej</w:t>
            </w:r>
            <w:proofErr w:type="spellEnd"/>
            <w:r w:rsidRPr="00BA4867">
              <w:rPr>
                <w:rFonts w:asciiTheme="minorHAnsi" w:eastAsiaTheme="minorHAnsi" w:hAnsiTheme="minorHAnsi" w:cstheme="minorHAnsi"/>
                <w:lang w:eastAsia="en-US"/>
              </w:rPr>
              <w:t xml:space="preserve"> liczby gniazd </w:t>
            </w:r>
            <w:proofErr w:type="spellStart"/>
            <w:r w:rsidRPr="00BA4867">
              <w:rPr>
                <w:rFonts w:asciiTheme="minorHAnsi" w:eastAsiaTheme="minorHAnsi" w:hAnsiTheme="minorHAnsi" w:cstheme="minorHAnsi"/>
                <w:lang w:eastAsia="en-US"/>
              </w:rPr>
              <w:t>PCIe</w:t>
            </w:r>
            <w:proofErr w:type="spellEnd"/>
            <w:r w:rsidRPr="00BA4867">
              <w:rPr>
                <w:rFonts w:asciiTheme="minorHAnsi" w:eastAsiaTheme="minorHAnsi" w:hAnsiTheme="minorHAnsi" w:cstheme="minorHAnsi"/>
                <w:lang w:eastAsia="en-US"/>
              </w:rPr>
              <w:t xml:space="preserve"> w serwerze, posiadająca minimalną funkcjonalność:</w:t>
            </w:r>
          </w:p>
          <w:p w14:paraId="252AD559"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monitorowanie podzespołów serwera: temperatura, zasilacze, wentylatory, procesory, pamięć RAM, kontrolery macierzowe i dyski(fizyczne i logiczne), karty sieciowe </w:t>
            </w:r>
          </w:p>
          <w:p w14:paraId="77478122"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wparcie dla agentów zarządzających oraz możliwość pracy w trybie </w:t>
            </w:r>
            <w:proofErr w:type="spellStart"/>
            <w:r w:rsidRPr="00BA4867">
              <w:rPr>
                <w:rFonts w:asciiTheme="minorHAnsi" w:eastAsiaTheme="minorHAnsi" w:hAnsiTheme="minorHAnsi" w:cstheme="minorHAnsi"/>
                <w:lang w:eastAsia="en-US"/>
              </w:rPr>
              <w:t>bezagentowym</w:t>
            </w:r>
            <w:proofErr w:type="spellEnd"/>
            <w:r w:rsidRPr="00BA4867">
              <w:rPr>
                <w:rFonts w:asciiTheme="minorHAnsi" w:eastAsiaTheme="minorHAnsi" w:hAnsiTheme="minorHAnsi" w:cstheme="minorHAnsi"/>
                <w:lang w:eastAsia="en-US"/>
              </w:rPr>
              <w:t xml:space="preserve"> – bez agentów zarządzania instalowanych w systemie operacyjnym z generowaniem alertów SNMP</w:t>
            </w:r>
          </w:p>
          <w:p w14:paraId="0D31F256"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dostęp do karty zarządzającej poprzez </w:t>
            </w:r>
          </w:p>
          <w:p w14:paraId="502A7FD1"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dedykowany port RJ45 z tyłu serwera lub </w:t>
            </w:r>
          </w:p>
          <w:p w14:paraId="09766612"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przez współdzielony port zintegrowanej karty sieciowej serwera  </w:t>
            </w:r>
          </w:p>
          <w:p w14:paraId="1E367EA8"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dostęp do karty możliwy </w:t>
            </w:r>
          </w:p>
          <w:p w14:paraId="2BA5BCC3"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 poziomu przeglądarki webowej (GUI)</w:t>
            </w:r>
          </w:p>
          <w:p w14:paraId="1047547E"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val="en-GB" w:eastAsia="en-US"/>
              </w:rPr>
            </w:pPr>
            <w:r w:rsidRPr="00BA4867">
              <w:rPr>
                <w:rFonts w:asciiTheme="minorHAnsi" w:eastAsiaTheme="minorHAnsi" w:hAnsiTheme="minorHAnsi" w:cstheme="minorHAnsi"/>
                <w:lang w:val="en-GB" w:eastAsia="en-US"/>
              </w:rPr>
              <w:t xml:space="preserve">z </w:t>
            </w:r>
            <w:proofErr w:type="spellStart"/>
            <w:r w:rsidRPr="00BA4867">
              <w:rPr>
                <w:rFonts w:asciiTheme="minorHAnsi" w:eastAsiaTheme="minorHAnsi" w:hAnsiTheme="minorHAnsi" w:cstheme="minorHAnsi"/>
                <w:lang w:val="en-GB" w:eastAsia="en-US"/>
              </w:rPr>
              <w:t>poziomu</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linii</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komend</w:t>
            </w:r>
            <w:proofErr w:type="spellEnd"/>
            <w:r w:rsidRPr="00BA4867">
              <w:rPr>
                <w:rFonts w:asciiTheme="minorHAnsi" w:eastAsiaTheme="minorHAnsi" w:hAnsiTheme="minorHAnsi" w:cstheme="minorHAnsi"/>
                <w:lang w:val="en-GB" w:eastAsia="en-US"/>
              </w:rPr>
              <w:t xml:space="preserve"> zgodnie z DMTF System Management Architecture for Server Hardware, Server Management Command Line Protocol (SM CLP)</w:t>
            </w:r>
          </w:p>
          <w:p w14:paraId="1B811C79"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 poziomu skryptu (XML/Perl)</w:t>
            </w:r>
          </w:p>
          <w:p w14:paraId="432E185C"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val="en-GB" w:eastAsia="en-US"/>
              </w:rPr>
            </w:pPr>
            <w:proofErr w:type="spellStart"/>
            <w:r w:rsidRPr="00BA4867">
              <w:rPr>
                <w:rFonts w:asciiTheme="minorHAnsi" w:eastAsiaTheme="minorHAnsi" w:hAnsiTheme="minorHAnsi" w:cstheme="minorHAnsi"/>
                <w:lang w:val="en-GB" w:eastAsia="en-US"/>
              </w:rPr>
              <w:t>poprzez</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interfejs</w:t>
            </w:r>
            <w:proofErr w:type="spellEnd"/>
            <w:r w:rsidRPr="00BA4867">
              <w:rPr>
                <w:rFonts w:asciiTheme="minorHAnsi" w:eastAsiaTheme="minorHAnsi" w:hAnsiTheme="minorHAnsi" w:cstheme="minorHAnsi"/>
                <w:lang w:val="en-GB" w:eastAsia="en-US"/>
              </w:rPr>
              <w:t xml:space="preserve"> IPMI 2.0 (Intelligent Platform Management Interface)</w:t>
            </w:r>
          </w:p>
          <w:p w14:paraId="5A69696C"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wbudowane narzędzia diagnostyczne</w:t>
            </w:r>
          </w:p>
          <w:p w14:paraId="18FE3292"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zdalna konfiguracji serwera(BIOS) i instalacji systemu operacyjnego</w:t>
            </w:r>
          </w:p>
          <w:p w14:paraId="6AE6D8D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obsługa mechanizmu </w:t>
            </w:r>
            <w:proofErr w:type="spellStart"/>
            <w:r w:rsidRPr="00BA4867">
              <w:rPr>
                <w:rFonts w:asciiTheme="minorHAnsi" w:eastAsiaTheme="minorHAnsi" w:hAnsiTheme="minorHAnsi" w:cstheme="minorHAnsi"/>
                <w:lang w:eastAsia="en-US"/>
              </w:rPr>
              <w:t>remote</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support</w:t>
            </w:r>
            <w:proofErr w:type="spellEnd"/>
            <w:r w:rsidRPr="00BA4867">
              <w:rPr>
                <w:rFonts w:asciiTheme="minorHAnsi" w:eastAsiaTheme="minorHAnsi" w:hAnsiTheme="minorHAnsi" w:cstheme="minorHAnsi"/>
                <w:lang w:eastAsia="en-US"/>
              </w:rPr>
              <w:t xml:space="preserve">  - automatyczne połączenie karty z serwisem producenta sprzętu, automatyczne przesyłanie alertów, zgłoszeń serwisowych i zdalne monitorowanie</w:t>
            </w:r>
          </w:p>
          <w:p w14:paraId="3518923C"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wbudowany mechanizm logowania zdarzeń serwera i karty zarządzającej w tym włączanie/wyłączanie serwera, restart, zmiany w konfiguracji, logowanie użytkowników</w:t>
            </w:r>
          </w:p>
          <w:p w14:paraId="0AAEC637"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przesyłanie alertów poprzez e-mail oraz przekierowanie SNMP (SNMP </w:t>
            </w:r>
            <w:proofErr w:type="spellStart"/>
            <w:r w:rsidRPr="00BA4867">
              <w:rPr>
                <w:rFonts w:asciiTheme="minorHAnsi" w:eastAsiaTheme="minorHAnsi" w:hAnsiTheme="minorHAnsi" w:cstheme="minorHAnsi"/>
                <w:lang w:eastAsia="en-US"/>
              </w:rPr>
              <w:t>passthrough</w:t>
            </w:r>
            <w:proofErr w:type="spellEnd"/>
            <w:r w:rsidRPr="00BA4867">
              <w:rPr>
                <w:rFonts w:asciiTheme="minorHAnsi" w:eastAsiaTheme="minorHAnsi" w:hAnsiTheme="minorHAnsi" w:cstheme="minorHAnsi"/>
                <w:lang w:eastAsia="en-US"/>
              </w:rPr>
              <w:t>)</w:t>
            </w:r>
          </w:p>
          <w:p w14:paraId="6DF6EB38"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obsługa zdalnego serwera logowania (</w:t>
            </w:r>
            <w:proofErr w:type="spellStart"/>
            <w:r w:rsidRPr="00BA4867">
              <w:rPr>
                <w:rFonts w:asciiTheme="minorHAnsi" w:eastAsiaTheme="minorHAnsi" w:hAnsiTheme="minorHAnsi" w:cstheme="minorHAnsi"/>
                <w:lang w:eastAsia="en-US"/>
              </w:rPr>
              <w:t>remote</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syslog</w:t>
            </w:r>
            <w:proofErr w:type="spellEnd"/>
            <w:r w:rsidRPr="00BA4867">
              <w:rPr>
                <w:rFonts w:asciiTheme="minorHAnsi" w:eastAsiaTheme="minorHAnsi" w:hAnsiTheme="minorHAnsi" w:cstheme="minorHAnsi"/>
                <w:lang w:eastAsia="en-US"/>
              </w:rPr>
              <w:t>)</w:t>
            </w:r>
          </w:p>
          <w:p w14:paraId="34AAA8DF"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wirtualna </w:t>
            </w:r>
            <w:proofErr w:type="spellStart"/>
            <w:r w:rsidRPr="00BA4867">
              <w:rPr>
                <w:rFonts w:asciiTheme="minorHAnsi" w:eastAsiaTheme="minorHAnsi" w:hAnsiTheme="minorHAnsi" w:cstheme="minorHAnsi"/>
                <w:lang w:eastAsia="en-US"/>
              </w:rPr>
              <w:t>zadalna</w:t>
            </w:r>
            <w:proofErr w:type="spellEnd"/>
            <w:r w:rsidRPr="00BA4867">
              <w:rPr>
                <w:rFonts w:asciiTheme="minorHAnsi" w:eastAsiaTheme="minorHAnsi" w:hAnsiTheme="minorHAnsi" w:cstheme="minorHAnsi"/>
                <w:lang w:eastAsia="en-US"/>
              </w:rPr>
              <w:t xml:space="preserve"> konsola, tekstowa i graficzna, z dostępem do myszy i klawiatury i możliwością podłączenia wirtualnych napędów FDD, CD/DVD i USB i </w:t>
            </w:r>
            <w:proofErr w:type="spellStart"/>
            <w:r w:rsidRPr="00BA4867">
              <w:rPr>
                <w:rFonts w:asciiTheme="minorHAnsi" w:eastAsiaTheme="minorHAnsi" w:hAnsiTheme="minorHAnsi" w:cstheme="minorHAnsi"/>
                <w:lang w:eastAsia="en-US"/>
              </w:rPr>
              <w:t>i</w:t>
            </w:r>
            <w:proofErr w:type="spellEnd"/>
            <w:r w:rsidRPr="00BA4867">
              <w:rPr>
                <w:rFonts w:asciiTheme="minorHAnsi" w:eastAsiaTheme="minorHAnsi" w:hAnsiTheme="minorHAnsi" w:cstheme="minorHAnsi"/>
                <w:lang w:eastAsia="en-US"/>
              </w:rPr>
              <w:t xml:space="preserve"> wirtualnych folderów </w:t>
            </w:r>
          </w:p>
          <w:p w14:paraId="121D51A6"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mechanizm przechwytywania, nagrywania i odtwarzania sekwencji video dla ostatniej awarii  i ostatniego startu serwera a także nagrywanie na żądanie</w:t>
            </w:r>
          </w:p>
          <w:p w14:paraId="09D21098"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funkcja zdalnej konsoli szeregowej - </w:t>
            </w:r>
            <w:proofErr w:type="spellStart"/>
            <w:r w:rsidRPr="00BA4867">
              <w:rPr>
                <w:rFonts w:asciiTheme="minorHAnsi" w:eastAsiaTheme="minorHAnsi" w:hAnsiTheme="minorHAnsi" w:cstheme="minorHAnsi"/>
                <w:lang w:eastAsia="en-US"/>
              </w:rPr>
              <w:t>Textcons</w:t>
            </w:r>
            <w:proofErr w:type="spellEnd"/>
            <w:r w:rsidRPr="00BA4867">
              <w:rPr>
                <w:rFonts w:asciiTheme="minorHAnsi" w:eastAsiaTheme="minorHAnsi" w:hAnsiTheme="minorHAnsi" w:cstheme="minorHAnsi"/>
                <w:lang w:eastAsia="en-US"/>
              </w:rPr>
              <w:t xml:space="preserve"> przez SSH (wirtualny port szeregowy) z funkcją nagrywania i odtwarzania sekwencji zdarzeń i aktywności </w:t>
            </w:r>
          </w:p>
          <w:p w14:paraId="5AD34F0A"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monitorowanie zasilania oraz zużycia energii przez serwer w czasie rzeczywistym z możliwością graficznej prezentacji</w:t>
            </w:r>
          </w:p>
          <w:p w14:paraId="778C18D5"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konfiguracja maksymalnego poziomu pobieranej mocy przez serwer (</w:t>
            </w:r>
            <w:proofErr w:type="spellStart"/>
            <w:r w:rsidRPr="00BA4867">
              <w:rPr>
                <w:rFonts w:asciiTheme="minorHAnsi" w:eastAsiaTheme="minorHAnsi" w:hAnsiTheme="minorHAnsi" w:cstheme="minorHAnsi"/>
                <w:lang w:eastAsia="en-US"/>
              </w:rPr>
              <w:t>capping</w:t>
            </w:r>
            <w:proofErr w:type="spellEnd"/>
            <w:r w:rsidRPr="00BA4867">
              <w:rPr>
                <w:rFonts w:asciiTheme="minorHAnsi" w:eastAsiaTheme="minorHAnsi" w:hAnsiTheme="minorHAnsi" w:cstheme="minorHAnsi"/>
                <w:lang w:eastAsia="en-US"/>
              </w:rPr>
              <w:t xml:space="preserve">) </w:t>
            </w:r>
          </w:p>
          <w:p w14:paraId="54A19A4A"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zdalna aktualizacja oprogramowania (</w:t>
            </w:r>
            <w:proofErr w:type="spellStart"/>
            <w:r w:rsidRPr="00BA4867">
              <w:rPr>
                <w:rFonts w:asciiTheme="minorHAnsi" w:eastAsiaTheme="minorHAnsi" w:hAnsiTheme="minorHAnsi" w:cstheme="minorHAnsi"/>
                <w:lang w:eastAsia="en-US"/>
              </w:rPr>
              <w:t>firmware</w:t>
            </w:r>
            <w:proofErr w:type="spellEnd"/>
            <w:r w:rsidRPr="00BA4867">
              <w:rPr>
                <w:rFonts w:asciiTheme="minorHAnsi" w:eastAsiaTheme="minorHAnsi" w:hAnsiTheme="minorHAnsi" w:cstheme="minorHAnsi"/>
                <w:lang w:eastAsia="en-US"/>
              </w:rPr>
              <w:t>)</w:t>
            </w:r>
          </w:p>
          <w:p w14:paraId="56A8ECE9"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zarządzanie grupami serwerów, w tym:</w:t>
            </w:r>
          </w:p>
          <w:p w14:paraId="2995934B"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tworzenie i konfiguracja grup serwerów</w:t>
            </w:r>
          </w:p>
          <w:p w14:paraId="6A406641"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sterowanie zasilaniem (</w:t>
            </w:r>
            <w:proofErr w:type="spellStart"/>
            <w:r w:rsidRPr="00BA4867">
              <w:rPr>
                <w:rFonts w:asciiTheme="minorHAnsi" w:eastAsiaTheme="minorHAnsi" w:hAnsiTheme="minorHAnsi" w:cstheme="minorHAnsi"/>
                <w:lang w:eastAsia="en-US"/>
              </w:rPr>
              <w:t>wł</w:t>
            </w:r>
            <w:proofErr w:type="spellEnd"/>
            <w:r w:rsidRPr="00BA4867">
              <w:rPr>
                <w:rFonts w:asciiTheme="minorHAnsi" w:eastAsiaTheme="minorHAnsi" w:hAnsiTheme="minorHAnsi" w:cstheme="minorHAnsi"/>
                <w:lang w:eastAsia="en-US"/>
              </w:rPr>
              <w:t xml:space="preserve">/wył) </w:t>
            </w:r>
          </w:p>
          <w:p w14:paraId="439FCCCA"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ograniczenie poboru mocy dla grupy (</w:t>
            </w:r>
            <w:proofErr w:type="spellStart"/>
            <w:r w:rsidRPr="00BA4867">
              <w:rPr>
                <w:rFonts w:asciiTheme="minorHAnsi" w:eastAsiaTheme="minorHAnsi" w:hAnsiTheme="minorHAnsi" w:cstheme="minorHAnsi"/>
                <w:lang w:eastAsia="en-US"/>
              </w:rPr>
              <w:t>power</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caping</w:t>
            </w:r>
            <w:proofErr w:type="spellEnd"/>
            <w:r w:rsidRPr="00BA4867">
              <w:rPr>
                <w:rFonts w:asciiTheme="minorHAnsi" w:eastAsiaTheme="minorHAnsi" w:hAnsiTheme="minorHAnsi" w:cstheme="minorHAnsi"/>
                <w:lang w:eastAsia="en-US"/>
              </w:rPr>
              <w:t>)</w:t>
            </w:r>
          </w:p>
          <w:p w14:paraId="648040EA"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aktualizacja oprogramowania (</w:t>
            </w:r>
            <w:proofErr w:type="spellStart"/>
            <w:r w:rsidRPr="00BA4867">
              <w:rPr>
                <w:rFonts w:asciiTheme="minorHAnsi" w:eastAsiaTheme="minorHAnsi" w:hAnsiTheme="minorHAnsi" w:cstheme="minorHAnsi"/>
                <w:lang w:eastAsia="en-US"/>
              </w:rPr>
              <w:t>firmware</w:t>
            </w:r>
            <w:proofErr w:type="spellEnd"/>
            <w:r w:rsidRPr="00BA4867">
              <w:rPr>
                <w:rFonts w:asciiTheme="minorHAnsi" w:eastAsiaTheme="minorHAnsi" w:hAnsiTheme="minorHAnsi" w:cstheme="minorHAnsi"/>
                <w:lang w:eastAsia="en-US"/>
              </w:rPr>
              <w:t>)</w:t>
            </w:r>
          </w:p>
          <w:p w14:paraId="2747418D"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wspólne wirtualne media dla grupy</w:t>
            </w:r>
          </w:p>
          <w:p w14:paraId="73AA9151"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równoczesnej obsługi przez 6 administratorów</w:t>
            </w:r>
          </w:p>
          <w:p w14:paraId="7195BB1F"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autentykacja dwuskładnikowa (</w:t>
            </w:r>
            <w:proofErr w:type="spellStart"/>
            <w:r w:rsidRPr="00BA4867">
              <w:rPr>
                <w:rFonts w:asciiTheme="minorHAnsi" w:eastAsiaTheme="minorHAnsi" w:hAnsiTheme="minorHAnsi" w:cstheme="minorHAnsi"/>
                <w:lang w:eastAsia="en-US"/>
              </w:rPr>
              <w:t>Kerberos</w:t>
            </w:r>
            <w:proofErr w:type="spellEnd"/>
            <w:r w:rsidRPr="00BA4867">
              <w:rPr>
                <w:rFonts w:asciiTheme="minorHAnsi" w:eastAsiaTheme="minorHAnsi" w:hAnsiTheme="minorHAnsi" w:cstheme="minorHAnsi"/>
                <w:lang w:eastAsia="en-US"/>
              </w:rPr>
              <w:t>)</w:t>
            </w:r>
          </w:p>
          <w:p w14:paraId="18388748"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wsparcie dla Microsoft Active Directory</w:t>
            </w:r>
          </w:p>
          <w:p w14:paraId="4BAA81BD"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obsługa SSL i SSH</w:t>
            </w:r>
          </w:p>
          <w:p w14:paraId="67400C6B"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proofErr w:type="spellStart"/>
            <w:r w:rsidRPr="00BA4867">
              <w:rPr>
                <w:rFonts w:asciiTheme="minorHAnsi" w:eastAsiaTheme="minorHAnsi" w:hAnsiTheme="minorHAnsi" w:cstheme="minorHAnsi"/>
                <w:lang w:eastAsia="en-US"/>
              </w:rPr>
              <w:t>enkrypcja</w:t>
            </w:r>
            <w:proofErr w:type="spellEnd"/>
            <w:r w:rsidRPr="00BA4867">
              <w:rPr>
                <w:rFonts w:asciiTheme="minorHAnsi" w:eastAsiaTheme="minorHAnsi" w:hAnsiTheme="minorHAnsi" w:cstheme="minorHAnsi"/>
                <w:lang w:eastAsia="en-US"/>
              </w:rPr>
              <w:t xml:space="preserve"> AES/3DES oraz RC4 dla zdalnej konsoli</w:t>
            </w:r>
          </w:p>
          <w:p w14:paraId="1F296021"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wsparcie dla IPv4 oraz iPv6, obsługa SNMP v3 oraz </w:t>
            </w:r>
            <w:proofErr w:type="spellStart"/>
            <w:r w:rsidRPr="00BA4867">
              <w:rPr>
                <w:rFonts w:asciiTheme="minorHAnsi" w:eastAsiaTheme="minorHAnsi" w:hAnsiTheme="minorHAnsi" w:cstheme="minorHAnsi"/>
                <w:lang w:eastAsia="en-US"/>
              </w:rPr>
              <w:t>RESTful</w:t>
            </w:r>
            <w:proofErr w:type="spellEnd"/>
            <w:r w:rsidRPr="00BA4867">
              <w:rPr>
                <w:rFonts w:asciiTheme="minorHAnsi" w:eastAsiaTheme="minorHAnsi" w:hAnsiTheme="minorHAnsi" w:cstheme="minorHAnsi"/>
                <w:lang w:eastAsia="en-US"/>
              </w:rPr>
              <w:t xml:space="preserve"> API</w:t>
            </w:r>
          </w:p>
          <w:p w14:paraId="1159A41D"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val="en-GB" w:eastAsia="en-US"/>
              </w:rPr>
            </w:pPr>
            <w:proofErr w:type="spellStart"/>
            <w:r w:rsidRPr="00BA4867">
              <w:rPr>
                <w:rFonts w:asciiTheme="minorHAnsi" w:eastAsiaTheme="minorHAnsi" w:hAnsiTheme="minorHAnsi" w:cstheme="minorHAnsi"/>
                <w:lang w:val="en-GB" w:eastAsia="en-US"/>
              </w:rPr>
              <w:t>wsparcie</w:t>
            </w:r>
            <w:proofErr w:type="spellEnd"/>
            <w:r w:rsidRPr="00BA4867">
              <w:rPr>
                <w:rFonts w:asciiTheme="minorHAnsi" w:eastAsiaTheme="minorHAnsi" w:hAnsiTheme="minorHAnsi" w:cstheme="minorHAnsi"/>
                <w:lang w:val="en-GB" w:eastAsia="en-US"/>
              </w:rPr>
              <w:t xml:space="preserve"> dla Integrated Remote Console for Windows clients</w:t>
            </w:r>
          </w:p>
          <w:p w14:paraId="36F9A302"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możliwość </w:t>
            </w:r>
            <w:proofErr w:type="spellStart"/>
            <w:r w:rsidRPr="00BA4867">
              <w:rPr>
                <w:rFonts w:asciiTheme="minorHAnsi" w:eastAsiaTheme="minorHAnsi" w:hAnsiTheme="minorHAnsi" w:cstheme="minorHAnsi"/>
                <w:lang w:eastAsia="en-US"/>
              </w:rPr>
              <w:t>autokonfiguracji</w:t>
            </w:r>
            <w:proofErr w:type="spellEnd"/>
            <w:r w:rsidRPr="00BA4867">
              <w:rPr>
                <w:rFonts w:asciiTheme="minorHAnsi" w:eastAsiaTheme="minorHAnsi" w:hAnsiTheme="minorHAnsi" w:cstheme="minorHAnsi"/>
                <w:lang w:eastAsia="en-US"/>
              </w:rPr>
              <w:t xml:space="preserve"> sieci karty </w:t>
            </w:r>
            <w:proofErr w:type="spellStart"/>
            <w:r w:rsidRPr="00BA4867">
              <w:rPr>
                <w:rFonts w:asciiTheme="minorHAnsi" w:eastAsiaTheme="minorHAnsi" w:hAnsiTheme="minorHAnsi" w:cstheme="minorHAnsi"/>
                <w:lang w:eastAsia="en-US"/>
              </w:rPr>
              <w:t>zarządzającejj</w:t>
            </w:r>
            <w:proofErr w:type="spellEnd"/>
            <w:r w:rsidRPr="00BA4867">
              <w:rPr>
                <w:rFonts w:asciiTheme="minorHAnsi" w:eastAsiaTheme="minorHAnsi" w:hAnsiTheme="minorHAnsi" w:cstheme="minorHAnsi"/>
                <w:lang w:eastAsia="en-US"/>
              </w:rPr>
              <w:t xml:space="preserve"> (DNS/DHCP)</w:t>
            </w:r>
          </w:p>
        </w:tc>
      </w:tr>
      <w:tr w:rsidR="00BA4867" w:rsidRPr="00BA4867" w14:paraId="292D47BA"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732F1DA"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System Operacyjny i oprogramowanie</w:t>
            </w:r>
          </w:p>
        </w:tc>
        <w:tc>
          <w:tcPr>
            <w:tcW w:w="7110" w:type="dxa"/>
            <w:vAlign w:val="center"/>
          </w:tcPr>
          <w:p w14:paraId="78753BC4"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Wraz z serwerem należy dostarczyć:</w:t>
            </w:r>
          </w:p>
          <w:p w14:paraId="4482CCE8" w14:textId="77777777" w:rsidR="00BA4867" w:rsidRPr="00BA4867" w:rsidRDefault="00BA4867" w:rsidP="00BA4867">
            <w:pPr>
              <w:numPr>
                <w:ilvl w:val="0"/>
                <w:numId w:val="17"/>
              </w:numPr>
              <w:spacing w:after="160" w:line="259" w:lineRule="auto"/>
              <w:contextualSpacing/>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Windows Serwer 2022 Standard na wszystkie fizyczne rdzenie zainstalowanych procesorów w serwerze tak, aby umożliwiały uruchomienie 8 maszyn wirtualnych. Dopuszcza się licencje OEM.</w:t>
            </w:r>
          </w:p>
          <w:p w14:paraId="68FBC01D"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p>
          <w:p w14:paraId="1D05FE97" w14:textId="77777777" w:rsidR="00BA4867" w:rsidRPr="00BA4867" w:rsidRDefault="00BA4867" w:rsidP="00BA4867">
            <w:pPr>
              <w:numPr>
                <w:ilvl w:val="0"/>
                <w:numId w:val="17"/>
              </w:numPr>
              <w:spacing w:after="160" w:line="259"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Licencja dla 3 serwerów fizycznych posiadających 2 procesory ze wsparciem technicznym 9x5 z 4h-czasem zdalnej reakcji oraz gwarancją utrzymania aktualnej wersji przez okres min. 5 lat.</w:t>
            </w:r>
          </w:p>
          <w:p w14:paraId="0A04A978"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p>
          <w:p w14:paraId="6FE6266D"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Warstwa wirtualizacji musi być zainstalowana bezpośrednio na sprzęcie fizycznym bez dodatkowych pośredniczących systemów operacyjnych.</w:t>
            </w:r>
          </w:p>
          <w:p w14:paraId="6B5D0886"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Rozwiązanie musi zapewnić możliwość obsługi wielu instancji systemów operacyjnych na jednym serwerze fizycznym i powinno się charakteryzować maksymalnym możliwym stopniem konsolidacji sprzętowej.</w:t>
            </w:r>
          </w:p>
          <w:p w14:paraId="6B1CF04B"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Pojedynczy klaster może się skalować do 3 fizycznych hostów (serwerów) z zainstalowaną warstwą wirtualizacji.</w:t>
            </w:r>
          </w:p>
          <w:p w14:paraId="503B5193"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Oprogramowanie do wirtualizacji zainstalowane na serwerze fizycznym potrafi obsłużyć </w:t>
            </w:r>
          </w:p>
          <w:p w14:paraId="0EB556A3"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i wykorzystać procesory fizyczne wyposażone w 768 logicznych wątków oraz do 12TB pamięci fizycznej RAM.</w:t>
            </w:r>
          </w:p>
          <w:p w14:paraId="5DC963B6"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musi zapewnić możliwość skonfigurowania maszyn wirtualnych 1-256 procesorowych.</w:t>
            </w:r>
          </w:p>
          <w:p w14:paraId="12031550"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musi zapewniać możliwość stworzenia dysku maszyny wirtualnej o wielkości do 62 TB.</w:t>
            </w:r>
          </w:p>
          <w:p w14:paraId="1B554986"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Oprogramowanie do wirtualizacji musi zapewnić możliwość skonfigurowania maszyn wirtualnych </w:t>
            </w:r>
          </w:p>
          <w:p w14:paraId="31F25AA5"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 możliwością przydzielenia do 6 TB pamięci operacyjnej RAM.</w:t>
            </w:r>
          </w:p>
          <w:p w14:paraId="398C31ED"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musi zapewnić możliwość skonfigurowania maszyn wirtualnych, z których każda może mieć 1-10 wirtualnych kart sieciowych.</w:t>
            </w:r>
          </w:p>
          <w:p w14:paraId="52641D99"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musi zapewnić możliwość skonfigurowania maszyn wirtualnych, z których każda może mieć 32 porty szeregowe.</w:t>
            </w:r>
          </w:p>
          <w:p w14:paraId="65D061E1"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Rozwiązanie musi umożliwiać łatwą i szybką rozbudowę infrastruktury o nowe usługi bez spadku wydajności i dostępności pozostałych wybranych usług.</w:t>
            </w:r>
          </w:p>
          <w:p w14:paraId="0647D2C7"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Rozwiązanie musi wspierać następujące systemy operacyjne: Windows XP, Windows Vista, Windows 2000, Windows Server 2003, Windows Server 2008, Windows Server 2012, Windows Server 2016, Windows Server 2019, Windows 7, Windows 8, Windows 10,  SLES 11, SLES 12, SLES 15, RHEL 8, RHEL 7, RHEL 6, RHEL 5, RHEL 4, Solaris 11 ,Solaris 10, </w:t>
            </w:r>
            <w:proofErr w:type="spellStart"/>
            <w:r w:rsidRPr="00BA4867">
              <w:rPr>
                <w:rFonts w:asciiTheme="minorHAnsi" w:eastAsiaTheme="minorHAnsi" w:hAnsiTheme="minorHAnsi" w:cstheme="minorHAnsi"/>
                <w:lang w:eastAsia="en-US"/>
              </w:rPr>
              <w:t>Debian</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CentOS</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FreeBSD</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Ubuntu</w:t>
            </w:r>
            <w:proofErr w:type="spellEnd"/>
            <w:r w:rsidRPr="00BA4867">
              <w:rPr>
                <w:rFonts w:asciiTheme="minorHAnsi" w:eastAsiaTheme="minorHAnsi" w:hAnsiTheme="minorHAnsi" w:cstheme="minorHAnsi"/>
                <w:lang w:eastAsia="en-US"/>
              </w:rPr>
              <w:t xml:space="preserve"> 20, </w:t>
            </w:r>
            <w:proofErr w:type="spellStart"/>
            <w:r w:rsidRPr="00BA4867">
              <w:rPr>
                <w:rFonts w:asciiTheme="minorHAnsi" w:eastAsiaTheme="minorHAnsi" w:hAnsiTheme="minorHAnsi" w:cstheme="minorHAnsi"/>
                <w:lang w:eastAsia="en-US"/>
              </w:rPr>
              <w:t>Ubuntu</w:t>
            </w:r>
            <w:proofErr w:type="spellEnd"/>
            <w:r w:rsidRPr="00BA4867">
              <w:rPr>
                <w:rFonts w:asciiTheme="minorHAnsi" w:eastAsiaTheme="minorHAnsi" w:hAnsiTheme="minorHAnsi" w:cstheme="minorHAnsi"/>
                <w:lang w:eastAsia="en-US"/>
              </w:rPr>
              <w:t xml:space="preserve"> 18, </w:t>
            </w:r>
            <w:proofErr w:type="spellStart"/>
            <w:r w:rsidRPr="00BA4867">
              <w:rPr>
                <w:rFonts w:asciiTheme="minorHAnsi" w:eastAsiaTheme="minorHAnsi" w:hAnsiTheme="minorHAnsi" w:cstheme="minorHAnsi"/>
                <w:lang w:eastAsia="en-US"/>
              </w:rPr>
              <w:t>Ubuntu</w:t>
            </w:r>
            <w:proofErr w:type="spellEnd"/>
            <w:r w:rsidRPr="00BA4867">
              <w:rPr>
                <w:rFonts w:asciiTheme="minorHAnsi" w:eastAsiaTheme="minorHAnsi" w:hAnsiTheme="minorHAnsi" w:cstheme="minorHAnsi"/>
                <w:lang w:eastAsia="en-US"/>
              </w:rPr>
              <w:t xml:space="preserve"> 10, Mac OS X, Oracle Linux.</w:t>
            </w:r>
          </w:p>
          <w:p w14:paraId="0C6DCE33"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Rozwiązanie musi umożliwiać przydzielenie większej ilości pamięci RAM dla maszyn wirtualnych niż fizyczne zasoby RAM serwera w celu osiągnięcia maksymalnego współczynnika konsolidacji.</w:t>
            </w:r>
          </w:p>
          <w:p w14:paraId="6B8C2CF4"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Rozwiązanie musi umożliwiać udostępnienie maszynie wirtualnej większej ilości zasobów dyskowych niż jest fizycznie zarezerwowane na dyskach lokalnych serwera lub na macierzy. </w:t>
            </w:r>
          </w:p>
          <w:p w14:paraId="7BA56FD8"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Rozwiązanie powinno posiadać centralną konsolę graficzną do zarządzania maszynami wirtualnymi i do konfigurowania innych funkcjonalności. Centralna konsola graficzna powinna mieć możliwość działania jako gotowa, wstępnie skonfigurowana maszyna wirtualna tzw. </w:t>
            </w:r>
            <w:proofErr w:type="spellStart"/>
            <w:r w:rsidRPr="00BA4867">
              <w:rPr>
                <w:rFonts w:asciiTheme="minorHAnsi" w:eastAsiaTheme="minorHAnsi" w:hAnsiTheme="minorHAnsi" w:cstheme="minorHAnsi"/>
                <w:lang w:eastAsia="en-US"/>
              </w:rPr>
              <w:t>virtual</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appliance</w:t>
            </w:r>
            <w:proofErr w:type="spellEnd"/>
            <w:r w:rsidRPr="00BA4867">
              <w:rPr>
                <w:rFonts w:asciiTheme="minorHAnsi" w:eastAsiaTheme="minorHAnsi" w:hAnsiTheme="minorHAnsi" w:cstheme="minorHAnsi"/>
                <w:lang w:eastAsia="en-US"/>
              </w:rPr>
              <w:t xml:space="preserve">.  </w:t>
            </w:r>
          </w:p>
          <w:p w14:paraId="14C09E31"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Rozwiązanie musi zapewnić możliwość bieżącego monitorowania wykorzystania zasobów fizycznych infrastruktury wirtualnej (np. wykorzystanie procesorów, pamięci RAM, wykorzystanie przestrzeni na dyskach/wolumenach) oraz przechowywać i wyświetlać dane maksymalnie sprzed roku. </w:t>
            </w:r>
          </w:p>
          <w:p w14:paraId="3C8186DB"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 xml:space="preserve">Oprogramowanie do wirtualizacji powinno zapewnić możliwość wykonywania kopii migawkowych instancji systemów operacyjnych (tzw. </w:t>
            </w:r>
            <w:proofErr w:type="spellStart"/>
            <w:r w:rsidRPr="00BA4867">
              <w:rPr>
                <w:rFonts w:asciiTheme="minorHAnsi" w:eastAsiaTheme="minorHAnsi" w:hAnsiTheme="minorHAnsi" w:cstheme="minorHAnsi"/>
                <w:lang w:eastAsia="en-US"/>
              </w:rPr>
              <w:t>snapshot</w:t>
            </w:r>
            <w:proofErr w:type="spellEnd"/>
            <w:r w:rsidRPr="00BA4867">
              <w:rPr>
                <w:rFonts w:asciiTheme="minorHAnsi" w:eastAsiaTheme="minorHAnsi" w:hAnsiTheme="minorHAnsi" w:cstheme="minorHAnsi"/>
                <w:lang w:eastAsia="en-US"/>
              </w:rPr>
              <w:t>) na potrzeby tworzenia kopii zapasowych bez przerywania ich pracy.</w:t>
            </w:r>
          </w:p>
          <w:p w14:paraId="501F5D38"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musi zapewnić możliwość klonowania systemów operacyjnych wraz z ich pełną konfiguracją i danymi.</w:t>
            </w:r>
          </w:p>
          <w:p w14:paraId="5E480921"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Oprogramowanie do wirtualizacji oraz oprogramowanie zarządzające musi posiadać możliwość integracji z usługami katalogowymi Microsoft Active Directory.</w:t>
            </w:r>
          </w:p>
          <w:p w14:paraId="0C932463"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Rozwiązanie musi zapewniać mechanizm bezpiecznego uaktualniania warstwy </w:t>
            </w:r>
            <w:proofErr w:type="spellStart"/>
            <w:r w:rsidRPr="00BA4867">
              <w:rPr>
                <w:rFonts w:asciiTheme="minorHAnsi" w:eastAsiaTheme="minorHAnsi" w:hAnsiTheme="minorHAnsi" w:cstheme="minorHAnsi"/>
                <w:lang w:eastAsia="en-US"/>
              </w:rPr>
              <w:t>wirtualizacyjnej</w:t>
            </w:r>
            <w:proofErr w:type="spellEnd"/>
            <w:r w:rsidRPr="00BA4867">
              <w:rPr>
                <w:rFonts w:asciiTheme="minorHAnsi" w:eastAsiaTheme="minorHAnsi" w:hAnsiTheme="minorHAnsi" w:cstheme="minorHAnsi"/>
                <w:lang w:eastAsia="en-US"/>
              </w:rPr>
              <w:t xml:space="preserve"> (hosta, maszyny wirtualnej) bez potrzeby wyłączania wirtualnych maszyn.</w:t>
            </w:r>
          </w:p>
          <w:p w14:paraId="03E7A4F0"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System musi posiadać funkcjonalność wirtualnego przełącznika (</w:t>
            </w:r>
            <w:proofErr w:type="spellStart"/>
            <w:r w:rsidRPr="00BA4867">
              <w:rPr>
                <w:rFonts w:asciiTheme="minorHAnsi" w:eastAsiaTheme="minorHAnsi" w:hAnsiTheme="minorHAnsi" w:cstheme="minorHAnsi"/>
                <w:lang w:eastAsia="en-US"/>
              </w:rPr>
              <w:t>virtual</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switch</w:t>
            </w:r>
            <w:proofErr w:type="spellEnd"/>
            <w:r w:rsidRPr="00BA4867">
              <w:rPr>
                <w:rFonts w:asciiTheme="minorHAnsi" w:eastAsiaTheme="minorHAnsi" w:hAnsiTheme="minorHAnsi" w:cstheme="minorHAnsi"/>
                <w:lang w:eastAsia="en-US"/>
              </w:rPr>
              <w:t>) umożliwiającego tworzenie sieci wirtualnej w obszarze hosta i pozwalającego połączyć maszyny wirtualne w obszarze jednego hosta, a także na zewnątrz sieci fizycznej. Pojedynczy przełącznik wirtualny powinien mieć możliwość konfiguracji do 4000 portów.</w:t>
            </w:r>
          </w:p>
          <w:p w14:paraId="68AF3CCA"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Pojedynczy wirtualny przełącznik musi posiadać możliwość przyłączania do niego dwóch i więcej fizycznych kart sieciowych, aby zapewnić bezpieczeństwo połączenia </w:t>
            </w:r>
            <w:proofErr w:type="spellStart"/>
            <w:r w:rsidRPr="00BA4867">
              <w:rPr>
                <w:rFonts w:asciiTheme="minorHAnsi" w:eastAsiaTheme="minorHAnsi" w:hAnsiTheme="minorHAnsi" w:cstheme="minorHAnsi"/>
                <w:lang w:eastAsia="en-US"/>
              </w:rPr>
              <w:t>ethernetowego</w:t>
            </w:r>
            <w:proofErr w:type="spellEnd"/>
            <w:r w:rsidRPr="00BA4867">
              <w:rPr>
                <w:rFonts w:asciiTheme="minorHAnsi" w:eastAsiaTheme="minorHAnsi" w:hAnsiTheme="minorHAnsi" w:cstheme="minorHAnsi"/>
                <w:lang w:eastAsia="en-US"/>
              </w:rPr>
              <w:t xml:space="preserve"> w razie awarii karty sieciowej.</w:t>
            </w:r>
          </w:p>
          <w:p w14:paraId="25BBF4AA"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Wirtualne przełączniki musza obsługiwać wirtualne sieci lokalne (VLAN).</w:t>
            </w:r>
          </w:p>
          <w:p w14:paraId="36A5EB16"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Rozwiązanie musi zapewniać mechanizm replikacji wskazanych maszyn wirtualnych w obrębie klastra serwerów fizycznych.</w:t>
            </w:r>
          </w:p>
          <w:p w14:paraId="16386FDB"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Rozwiązanie musi mieć możliwość przenoszenia maszyn wirtualnych w czasie ich pracy pomiędzy serwerami fizycznymi. Mechanizm powinien umożliwiać 4 lub więcej takich procesów przenoszenia jednocześnie.</w:t>
            </w:r>
          </w:p>
          <w:p w14:paraId="0E27D544" w14:textId="77777777" w:rsidR="00BA4867" w:rsidRPr="00BA4867" w:rsidRDefault="00BA4867" w:rsidP="00BA4867">
            <w:pPr>
              <w:numPr>
                <w:ilvl w:val="0"/>
                <w:numId w:val="16"/>
              </w:numPr>
              <w:spacing w:after="200" w:line="276" w:lineRule="auto"/>
              <w:contextualSpacing/>
              <w:rPr>
                <w:rFonts w:asciiTheme="minorHAnsi" w:eastAsiaTheme="minorHAnsi" w:hAnsiTheme="minorHAnsi" w:cstheme="minorHAnsi"/>
              </w:rPr>
            </w:pPr>
            <w:r w:rsidRPr="00BA4867">
              <w:rPr>
                <w:rFonts w:asciiTheme="minorHAnsi" w:eastAsiaTheme="minorHAnsi" w:hAnsiTheme="minorHAnsi" w:cstheme="minorHAnsi"/>
                <w:lang w:eastAsia="en-US"/>
              </w:rPr>
              <w:t xml:space="preserve">Musi zostać zapewniona odpowiednia redundancja i taki mechanizm (wysokiej dostępności HA) , aby w przypadku awarii lub niedostępności serwera fizycznego wybrane przez administratora i uruchomione nim wirtualne maszyny zostały uruchomione na innych serwerach z zainstalowanym oprogramowaniem </w:t>
            </w:r>
            <w:proofErr w:type="spellStart"/>
            <w:r w:rsidRPr="00BA4867">
              <w:rPr>
                <w:rFonts w:asciiTheme="minorHAnsi" w:eastAsiaTheme="minorHAnsi" w:hAnsiTheme="minorHAnsi" w:cstheme="minorHAnsi"/>
                <w:lang w:eastAsia="en-US"/>
              </w:rPr>
              <w:t>wirtualizacyjnym</w:t>
            </w:r>
            <w:proofErr w:type="spellEnd"/>
            <w:r w:rsidRPr="00BA4867">
              <w:rPr>
                <w:rFonts w:asciiTheme="minorHAnsi" w:eastAsiaTheme="minorHAnsi" w:hAnsiTheme="minorHAnsi" w:cstheme="minorHAnsi"/>
                <w:lang w:eastAsia="en-US"/>
              </w:rPr>
              <w:t xml:space="preserve">. </w:t>
            </w:r>
          </w:p>
        </w:tc>
      </w:tr>
      <w:tr w:rsidR="00BA4867" w:rsidRPr="00BA4867" w14:paraId="633BE5CC"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492582FC"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Wsparcie techniczne</w:t>
            </w:r>
          </w:p>
        </w:tc>
        <w:tc>
          <w:tcPr>
            <w:tcW w:w="7110" w:type="dxa"/>
            <w:vAlign w:val="center"/>
          </w:tcPr>
          <w:p w14:paraId="3F1EE446"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3-letnia gwarancja producenta w miejscu instalacji.</w:t>
            </w:r>
          </w:p>
          <w:p w14:paraId="1F282C65"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Czas reakcji to kolejny dzień roboczy. Wsparcie techniczne realizowane jest przez serwis producenta oferowanego serwera.</w:t>
            </w:r>
          </w:p>
        </w:tc>
      </w:tr>
      <w:tr w:rsidR="00BA4867" w:rsidRPr="00BA4867" w14:paraId="06FD540C"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BEBAB6A"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Inne</w:t>
            </w:r>
          </w:p>
        </w:tc>
        <w:tc>
          <w:tcPr>
            <w:tcW w:w="7110" w:type="dxa"/>
            <w:vAlign w:val="center"/>
          </w:tcPr>
          <w:p w14:paraId="6B1BAEFD"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Urządzenia muszą być zakupione w oficjalnym kanale dystrybucyjnym producenta. Na żądanie Zamawiającego, Wykonawca musi przedstawić oświadczenie producenta oferowanego serwera, potwierdzające pochodzenie urządzenia z oficjalnego kanału dystrybucyjnego producenta.</w:t>
            </w:r>
          </w:p>
          <w:p w14:paraId="20150391"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Wymagane są dokumenty poświadczające, że sprzęt jest produkowany zgodnie z normami ISO 9001 oraz ISO 14001.</w:t>
            </w:r>
          </w:p>
          <w:p w14:paraId="61369BA1"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Deklaracja zgodności CE.</w:t>
            </w:r>
          </w:p>
        </w:tc>
      </w:tr>
    </w:tbl>
    <w:p w14:paraId="3F8DFAB2"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p>
    <w:p w14:paraId="44D74A31"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Tabela 2. Serwery bazodanowe. Wymagane 2 sztuki.</w:t>
      </w:r>
    </w:p>
    <w:tbl>
      <w:tblPr>
        <w:tblW w:w="9610" w:type="dxa"/>
        <w:tblInd w:w="38" w:type="dxa"/>
        <w:tblLook w:val="01E0" w:firstRow="1" w:lastRow="1" w:firstColumn="1" w:lastColumn="1" w:noHBand="0" w:noVBand="0"/>
      </w:tblPr>
      <w:tblGrid>
        <w:gridCol w:w="2500"/>
        <w:gridCol w:w="7110"/>
      </w:tblGrid>
      <w:tr w:rsidR="00BA4867" w:rsidRPr="00BA4867" w14:paraId="73E9E763" w14:textId="77777777" w:rsidTr="00ED2950">
        <w:tc>
          <w:tcPr>
            <w:tcW w:w="2500" w:type="dxa"/>
            <w:tcBorders>
              <w:top w:val="single" w:sz="4" w:space="0" w:color="auto"/>
              <w:left w:val="single" w:sz="4" w:space="0" w:color="auto"/>
              <w:bottom w:val="single" w:sz="4" w:space="0" w:color="auto"/>
              <w:right w:val="single" w:sz="4" w:space="0" w:color="auto"/>
            </w:tcBorders>
          </w:tcPr>
          <w:p w14:paraId="1246173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Element konfiguracji</w:t>
            </w:r>
          </w:p>
        </w:tc>
        <w:tc>
          <w:tcPr>
            <w:tcW w:w="7110" w:type="dxa"/>
            <w:tcBorders>
              <w:top w:val="single" w:sz="4" w:space="0" w:color="auto"/>
              <w:left w:val="single" w:sz="4" w:space="0" w:color="auto"/>
              <w:bottom w:val="single" w:sz="4" w:space="0" w:color="auto"/>
              <w:right w:val="single" w:sz="4" w:space="0" w:color="auto"/>
            </w:tcBorders>
          </w:tcPr>
          <w:p w14:paraId="25F6460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Wymagania minimalne</w:t>
            </w:r>
          </w:p>
        </w:tc>
      </w:tr>
      <w:tr w:rsidR="00BA4867" w:rsidRPr="00BA4867" w14:paraId="516AE510"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6F5EC789"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Obudowa</w:t>
            </w:r>
          </w:p>
        </w:tc>
        <w:tc>
          <w:tcPr>
            <w:tcW w:w="7110" w:type="dxa"/>
          </w:tcPr>
          <w:p w14:paraId="2219B54D"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Maksymalnie 2U RACK 19 cali (wraz z szynami montażowymi)</w:t>
            </w:r>
          </w:p>
          <w:p w14:paraId="4F4D1F6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wyposażenia serwera w zamykany, zdejmowany panel przedni chroniący przed nieuprawionym dostępem do dysków</w:t>
            </w:r>
          </w:p>
          <w:p w14:paraId="5CBB1A8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wyposażenia serwera w czujniki otwarcia obudowy współpracującego z BIOS/UEFI.</w:t>
            </w:r>
          </w:p>
          <w:p w14:paraId="10F63C10"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Zainstalowany moduł TPM 2.0.</w:t>
            </w:r>
          </w:p>
        </w:tc>
      </w:tr>
      <w:tr w:rsidR="00BA4867" w:rsidRPr="00BA4867" w14:paraId="06CDC9CC"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0CE279F2"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Procesor</w:t>
            </w:r>
          </w:p>
          <w:p w14:paraId="676CF84D" w14:textId="77777777" w:rsidR="00BA4867" w:rsidRPr="00BA4867" w:rsidRDefault="00BA4867" w:rsidP="00BA4867">
            <w:pPr>
              <w:spacing w:after="200" w:line="276" w:lineRule="auto"/>
              <w:rPr>
                <w:rFonts w:asciiTheme="minorHAnsi" w:eastAsiaTheme="minorHAnsi" w:hAnsiTheme="minorHAnsi" w:cstheme="minorHAnsi"/>
                <w:lang w:eastAsia="en-US"/>
              </w:rPr>
            </w:pPr>
          </w:p>
        </w:tc>
        <w:tc>
          <w:tcPr>
            <w:tcW w:w="7110" w:type="dxa"/>
          </w:tcPr>
          <w:p w14:paraId="5A7E9570"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Jeden procesor 12-rdzeniowy, x86 - 64 bity, Intel Xeon Gold 5317 (3.0GHz/12-core/150W) </w:t>
            </w:r>
          </w:p>
          <w:p w14:paraId="4537C001"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Płyta główna  wspierająca zastosowanie procesorów od 8 do 40 rdzeniowych, mocy do min. 270W i taktowaniu CPU do min. 3.6GHz.</w:t>
            </w:r>
          </w:p>
        </w:tc>
      </w:tr>
      <w:tr w:rsidR="00BA4867" w:rsidRPr="00BA4867" w14:paraId="375EB692"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FC34C03"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Liczba procesorów</w:t>
            </w:r>
          </w:p>
        </w:tc>
        <w:tc>
          <w:tcPr>
            <w:tcW w:w="7110" w:type="dxa"/>
          </w:tcPr>
          <w:p w14:paraId="2247CBB5"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Min. 1 procesor, możliwość wyposażenia w drugi procesor.</w:t>
            </w:r>
          </w:p>
        </w:tc>
      </w:tr>
      <w:tr w:rsidR="00BA4867" w:rsidRPr="00BA4867" w14:paraId="15D64AEC"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478ED462"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Pamięć operacyjna</w:t>
            </w:r>
          </w:p>
        </w:tc>
        <w:tc>
          <w:tcPr>
            <w:tcW w:w="7110" w:type="dxa"/>
          </w:tcPr>
          <w:p w14:paraId="4D76892B"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256 GB RDIMM DDR4 3200 MT/s w modułach o pojemności 32GB każdy.</w:t>
            </w:r>
          </w:p>
          <w:p w14:paraId="57792118"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Płyta główna z minimum 32 slotami na pamięć i umożliwiająca instalację do minimum 8TB. </w:t>
            </w:r>
          </w:p>
          <w:p w14:paraId="5CF773D4"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Obsługa zabezpieczeń: Advanced ECC i Online </w:t>
            </w:r>
            <w:proofErr w:type="spellStart"/>
            <w:r w:rsidRPr="00BA4867">
              <w:rPr>
                <w:rFonts w:asciiTheme="minorHAnsi" w:eastAsiaTheme="minorHAnsi" w:hAnsiTheme="minorHAnsi" w:cstheme="minorHAnsi"/>
                <w:lang w:eastAsia="en-US"/>
              </w:rPr>
              <w:t>Spare</w:t>
            </w:r>
            <w:proofErr w:type="spellEnd"/>
            <w:r w:rsidRPr="00BA4867">
              <w:rPr>
                <w:rFonts w:asciiTheme="minorHAnsi" w:eastAsiaTheme="minorHAnsi" w:hAnsiTheme="minorHAnsi" w:cstheme="minorHAnsi"/>
                <w:lang w:eastAsia="en-US"/>
              </w:rPr>
              <w:t>.</w:t>
            </w:r>
          </w:p>
          <w:p w14:paraId="1C236B41"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z obsługą pamięci typu Intel </w:t>
            </w:r>
            <w:proofErr w:type="spellStart"/>
            <w:r w:rsidRPr="00BA4867">
              <w:rPr>
                <w:rFonts w:asciiTheme="minorHAnsi" w:eastAsiaTheme="minorHAnsi" w:hAnsiTheme="minorHAnsi" w:cstheme="minorHAnsi"/>
                <w:lang w:eastAsia="en-US"/>
              </w:rPr>
              <w:t>Optane</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Persistent</w:t>
            </w:r>
            <w:proofErr w:type="spellEnd"/>
            <w:r w:rsidRPr="00BA4867">
              <w:rPr>
                <w:rFonts w:asciiTheme="minorHAnsi" w:eastAsiaTheme="minorHAnsi" w:hAnsiTheme="minorHAnsi" w:cstheme="minorHAnsi"/>
                <w:lang w:eastAsia="en-US"/>
              </w:rPr>
              <w:t xml:space="preserve"> Memory</w:t>
            </w:r>
          </w:p>
        </w:tc>
      </w:tr>
      <w:tr w:rsidR="00BA4867" w:rsidRPr="00BA4867" w14:paraId="6552260E"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904FCF3"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roofErr w:type="spellStart"/>
            <w:r w:rsidRPr="00BA4867">
              <w:rPr>
                <w:rFonts w:asciiTheme="minorHAnsi" w:eastAsiaTheme="minorHAnsi" w:hAnsiTheme="minorHAnsi" w:cstheme="minorHAnsi"/>
                <w:lang w:eastAsia="en-US"/>
              </w:rPr>
              <w:t>Sloty</w:t>
            </w:r>
            <w:proofErr w:type="spellEnd"/>
            <w:r w:rsidRPr="00BA4867">
              <w:rPr>
                <w:rFonts w:asciiTheme="minorHAnsi" w:eastAsiaTheme="minorHAnsi" w:hAnsiTheme="minorHAnsi" w:cstheme="minorHAnsi"/>
                <w:lang w:eastAsia="en-US"/>
              </w:rPr>
              <w:t xml:space="preserve"> rozszerzeń</w:t>
            </w:r>
          </w:p>
        </w:tc>
        <w:tc>
          <w:tcPr>
            <w:tcW w:w="7110" w:type="dxa"/>
          </w:tcPr>
          <w:p w14:paraId="2F68DF7A"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3 aktywne gniazda PCI-Express generacji, w tym min. 1 slot x16 (szybkość slotu – </w:t>
            </w:r>
            <w:proofErr w:type="spellStart"/>
            <w:r w:rsidRPr="00BA4867">
              <w:rPr>
                <w:rFonts w:asciiTheme="minorHAnsi" w:eastAsiaTheme="minorHAnsi" w:hAnsiTheme="minorHAnsi" w:cstheme="minorHAnsi"/>
                <w:lang w:eastAsia="en-US"/>
              </w:rPr>
              <w:t>bus</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width</w:t>
            </w:r>
            <w:proofErr w:type="spellEnd"/>
            <w:r w:rsidRPr="00BA4867">
              <w:rPr>
                <w:rFonts w:asciiTheme="minorHAnsi" w:eastAsiaTheme="minorHAnsi" w:hAnsiTheme="minorHAnsi" w:cstheme="minorHAnsi"/>
                <w:lang w:eastAsia="en-US"/>
              </w:rPr>
              <w:t>) pełnej wysokości (</w:t>
            </w:r>
            <w:proofErr w:type="spellStart"/>
            <w:r w:rsidRPr="00BA4867">
              <w:rPr>
                <w:rFonts w:asciiTheme="minorHAnsi" w:eastAsiaTheme="minorHAnsi" w:hAnsiTheme="minorHAnsi" w:cstheme="minorHAnsi"/>
                <w:lang w:eastAsia="en-US"/>
              </w:rPr>
              <w:t>full</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height</w:t>
            </w:r>
            <w:proofErr w:type="spellEnd"/>
            <w:r w:rsidRPr="00BA4867">
              <w:rPr>
                <w:rFonts w:asciiTheme="minorHAnsi" w:eastAsiaTheme="minorHAnsi" w:hAnsiTheme="minorHAnsi" w:cstheme="minorHAnsi"/>
                <w:lang w:eastAsia="en-US"/>
              </w:rPr>
              <w:t xml:space="preserve">). </w:t>
            </w:r>
          </w:p>
        </w:tc>
      </w:tr>
      <w:tr w:rsidR="00BA4867" w:rsidRPr="00BA4867" w14:paraId="7CAA80C8"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1B8AE604"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Dysk twardy</w:t>
            </w:r>
          </w:p>
          <w:p w14:paraId="3AA6F5C1"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
        </w:tc>
        <w:tc>
          <w:tcPr>
            <w:tcW w:w="7110" w:type="dxa"/>
          </w:tcPr>
          <w:p w14:paraId="322EBFD6"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Zatoki dyskowe gotowe do zainstalowania 8 dysków SFF typu Hot </w:t>
            </w:r>
            <w:proofErr w:type="spellStart"/>
            <w:r w:rsidRPr="00BA4867">
              <w:rPr>
                <w:rFonts w:asciiTheme="minorHAnsi" w:eastAsiaTheme="minorHAnsi" w:hAnsiTheme="minorHAnsi" w:cstheme="minorHAnsi"/>
                <w:lang w:eastAsia="en-US"/>
              </w:rPr>
              <w:t>Swap</w:t>
            </w:r>
            <w:proofErr w:type="spellEnd"/>
            <w:r w:rsidRPr="00BA4867">
              <w:rPr>
                <w:rFonts w:asciiTheme="minorHAnsi" w:eastAsiaTheme="minorHAnsi" w:hAnsiTheme="minorHAnsi" w:cstheme="minorHAnsi"/>
                <w:lang w:eastAsia="en-US"/>
              </w:rPr>
              <w:t>.</w:t>
            </w:r>
          </w:p>
          <w:p w14:paraId="46823C99"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0D5B9AD8"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umożliwiający instalację pamięci </w:t>
            </w:r>
            <w:proofErr w:type="spellStart"/>
            <w:r w:rsidRPr="00BA4867">
              <w:rPr>
                <w:rFonts w:asciiTheme="minorHAnsi" w:eastAsiaTheme="minorHAnsi" w:hAnsiTheme="minorHAnsi" w:cstheme="minorHAnsi"/>
                <w:lang w:eastAsia="en-US"/>
              </w:rPr>
              <w:t>flash</w:t>
            </w:r>
            <w:proofErr w:type="spellEnd"/>
            <w:r w:rsidRPr="00BA4867">
              <w:rPr>
                <w:rFonts w:asciiTheme="minorHAnsi" w:eastAsiaTheme="minorHAnsi" w:hAnsiTheme="minorHAnsi" w:cstheme="minorHAnsi"/>
                <w:lang w:eastAsia="en-US"/>
              </w:rPr>
              <w:t xml:space="preserve"> w postaci kart </w:t>
            </w:r>
            <w:proofErr w:type="spellStart"/>
            <w:r w:rsidRPr="00BA4867">
              <w:rPr>
                <w:rFonts w:asciiTheme="minorHAnsi" w:eastAsiaTheme="minorHAnsi" w:hAnsiTheme="minorHAnsi" w:cstheme="minorHAnsi"/>
                <w:lang w:eastAsia="en-US"/>
              </w:rPr>
              <w:t>microSD</w:t>
            </w:r>
            <w:proofErr w:type="spellEnd"/>
            <w:r w:rsidRPr="00BA4867">
              <w:rPr>
                <w:rFonts w:asciiTheme="minorHAnsi" w:eastAsiaTheme="minorHAnsi" w:hAnsiTheme="minorHAnsi" w:cstheme="minorHAnsi"/>
                <w:lang w:eastAsia="en-US"/>
              </w:rPr>
              <w:t>/SD zapewniających minimalną pojemność 32GB i redundancję danych RAID-1. Zastosowane rozwiązanie musi posiadać gwarancję producenta serwera.</w:t>
            </w:r>
          </w:p>
          <w:p w14:paraId="0E4FFB1B"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2D60FBD9"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Zainstalowane dwa dyski M.2 </w:t>
            </w:r>
            <w:proofErr w:type="spellStart"/>
            <w:r w:rsidRPr="00BA4867">
              <w:rPr>
                <w:rFonts w:asciiTheme="minorHAnsi" w:eastAsiaTheme="minorHAnsi" w:hAnsiTheme="minorHAnsi" w:cstheme="minorHAnsi"/>
                <w:lang w:eastAsia="en-US"/>
              </w:rPr>
              <w:t>NVMe</w:t>
            </w:r>
            <w:proofErr w:type="spellEnd"/>
            <w:r w:rsidRPr="00BA4867">
              <w:rPr>
                <w:rFonts w:asciiTheme="minorHAnsi" w:eastAsiaTheme="minorHAnsi" w:hAnsiTheme="minorHAnsi" w:cstheme="minorHAnsi"/>
                <w:lang w:eastAsia="en-US"/>
              </w:rPr>
              <w:t xml:space="preserve"> 480GB SSD każdy zestawione w sprzętowy RAID1, umieszczone na dedykowanej karcie PCI-e.</w:t>
            </w:r>
          </w:p>
        </w:tc>
      </w:tr>
      <w:tr w:rsidR="00BA4867" w:rsidRPr="00BA4867" w14:paraId="1A8E4C70"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341B6767"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Kontroler</w:t>
            </w:r>
          </w:p>
        </w:tc>
        <w:tc>
          <w:tcPr>
            <w:tcW w:w="7110" w:type="dxa"/>
          </w:tcPr>
          <w:p w14:paraId="1A5A9FE1"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Serwer wyposażony w kontroler sprzętowy z min. 4GB cache z mechanizmem podtrzymywania zawartości pamięci cache w razie braku zasilania, zapewniający obsługę 16 napędów dyskowych </w:t>
            </w:r>
            <w:proofErr w:type="spellStart"/>
            <w:r w:rsidRPr="00BA4867">
              <w:rPr>
                <w:rFonts w:asciiTheme="minorHAnsi" w:eastAsiaTheme="minorHAnsi" w:hAnsiTheme="minorHAnsi" w:cstheme="minorHAnsi"/>
                <w:lang w:eastAsia="en-US"/>
              </w:rPr>
              <w:t>NVMe</w:t>
            </w:r>
            <w:proofErr w:type="spellEnd"/>
            <w:r w:rsidRPr="00BA4867">
              <w:rPr>
                <w:rFonts w:asciiTheme="minorHAnsi" w:eastAsiaTheme="minorHAnsi" w:hAnsiTheme="minorHAnsi" w:cstheme="minorHAnsi"/>
                <w:lang w:eastAsia="en-US"/>
              </w:rPr>
              <w:t>/SAS12G oraz obsługujący poziomy: RAID 0/1/10/5/50/6/60.</w:t>
            </w:r>
          </w:p>
          <w:p w14:paraId="21B43CD4"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Kontroler umożliwiający pracę z dyskami w trybach RAID i JBOD jednocześnie</w:t>
            </w:r>
          </w:p>
        </w:tc>
      </w:tr>
      <w:tr w:rsidR="00BA4867" w:rsidRPr="00BA4867" w14:paraId="2BF87CB5"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601719BC"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Interfejsy sieciowe</w:t>
            </w:r>
          </w:p>
        </w:tc>
        <w:tc>
          <w:tcPr>
            <w:tcW w:w="7110" w:type="dxa"/>
          </w:tcPr>
          <w:p w14:paraId="71433236"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Minimum 4 wbudowane porty Ethernet 100/1000 </w:t>
            </w:r>
            <w:proofErr w:type="spellStart"/>
            <w:r w:rsidRPr="00BA4867">
              <w:rPr>
                <w:rFonts w:asciiTheme="minorHAnsi" w:eastAsiaTheme="minorHAnsi" w:hAnsiTheme="minorHAnsi" w:cstheme="minorHAnsi"/>
                <w:lang w:eastAsia="en-US"/>
              </w:rPr>
              <w:t>Mb</w:t>
            </w:r>
            <w:proofErr w:type="spellEnd"/>
            <w:r w:rsidRPr="00BA4867">
              <w:rPr>
                <w:rFonts w:asciiTheme="minorHAnsi" w:eastAsiaTheme="minorHAnsi" w:hAnsiTheme="minorHAnsi" w:cstheme="minorHAnsi"/>
                <w:lang w:eastAsia="en-US"/>
              </w:rPr>
              <w:t xml:space="preserve">/s RJ-45 z funkcją Wake-On-LAN, wsparciem dla PXE, które nie zajmują gniazd </w:t>
            </w:r>
            <w:proofErr w:type="spellStart"/>
            <w:r w:rsidRPr="00BA4867">
              <w:rPr>
                <w:rFonts w:asciiTheme="minorHAnsi" w:eastAsiaTheme="minorHAnsi" w:hAnsiTheme="minorHAnsi" w:cstheme="minorHAnsi"/>
                <w:lang w:eastAsia="en-US"/>
              </w:rPr>
              <w:t>PCIe</w:t>
            </w:r>
            <w:proofErr w:type="spellEnd"/>
            <w:r w:rsidRPr="00BA4867">
              <w:rPr>
                <w:rFonts w:asciiTheme="minorHAnsi" w:eastAsiaTheme="minorHAnsi" w:hAnsiTheme="minorHAnsi" w:cstheme="minorHAnsi"/>
                <w:lang w:eastAsia="en-US"/>
              </w:rPr>
              <w:t xml:space="preserve"> opisanych w sekcji „</w:t>
            </w:r>
            <w:proofErr w:type="spellStart"/>
            <w:r w:rsidRPr="00BA4867">
              <w:rPr>
                <w:rFonts w:asciiTheme="minorHAnsi" w:eastAsiaTheme="minorHAnsi" w:hAnsiTheme="minorHAnsi" w:cstheme="minorHAnsi"/>
                <w:lang w:eastAsia="en-US"/>
              </w:rPr>
              <w:t>Sloty</w:t>
            </w:r>
            <w:proofErr w:type="spellEnd"/>
            <w:r w:rsidRPr="00BA4867">
              <w:rPr>
                <w:rFonts w:asciiTheme="minorHAnsi" w:eastAsiaTheme="minorHAnsi" w:hAnsiTheme="minorHAnsi" w:cstheme="minorHAnsi"/>
                <w:lang w:eastAsia="en-US"/>
              </w:rPr>
              <w:t xml:space="preserve"> rozszerzeń”.</w:t>
            </w:r>
          </w:p>
          <w:p w14:paraId="39EA378E" w14:textId="77777777" w:rsidR="00BA4867" w:rsidRPr="00BA4867" w:rsidRDefault="00BA4867" w:rsidP="00BA4867">
            <w:pPr>
              <w:autoSpaceDE w:val="0"/>
              <w:autoSpaceDN w:val="0"/>
              <w:adjustRightInd w:val="0"/>
              <w:spacing w:after="200" w:line="276" w:lineRule="auto"/>
              <w:jc w:val="both"/>
              <w:rPr>
                <w:rFonts w:asciiTheme="minorHAnsi" w:eastAsiaTheme="minorHAnsi" w:hAnsiTheme="minorHAnsi" w:cstheme="minorHAnsi"/>
                <w:lang w:eastAsia="en-US"/>
              </w:rPr>
            </w:pPr>
          </w:p>
          <w:p w14:paraId="696218D4"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Zainstalowana jedna karta dwuportowa 10/25GB SFP28 dostarczona wraz z wkładkami 10GB SR SFP+</w:t>
            </w:r>
          </w:p>
          <w:p w14:paraId="735F5979"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Zainstalowana jedna karta czteroportowa 10/25GB SFP28 dostarczona wraz z wkładkami 10GB SR SFP+</w:t>
            </w:r>
          </w:p>
        </w:tc>
      </w:tr>
      <w:tr w:rsidR="00BA4867" w:rsidRPr="00BA4867" w14:paraId="5440304C"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6D4E811"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Karta graficzna</w:t>
            </w:r>
          </w:p>
        </w:tc>
        <w:tc>
          <w:tcPr>
            <w:tcW w:w="7110" w:type="dxa"/>
          </w:tcPr>
          <w:p w14:paraId="60D7DCD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Zintegrowana karta graficzna</w:t>
            </w:r>
          </w:p>
        </w:tc>
      </w:tr>
      <w:tr w:rsidR="00BA4867" w:rsidRPr="00BA4867" w14:paraId="26E2CD9D"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3D89A7A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Porty</w:t>
            </w:r>
          </w:p>
        </w:tc>
        <w:tc>
          <w:tcPr>
            <w:tcW w:w="7110" w:type="dxa"/>
          </w:tcPr>
          <w:p w14:paraId="64F29068"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5 x USB 3.0 (w tym 2 porty wewnętrzne)</w:t>
            </w:r>
          </w:p>
          <w:p w14:paraId="489AC996"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1x VGA </w:t>
            </w:r>
          </w:p>
          <w:p w14:paraId="7534573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Wewnętrzny slot na kartę micro SD.</w:t>
            </w:r>
          </w:p>
          <w:p w14:paraId="7403672B"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p>
          <w:p w14:paraId="4199DCD3"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rozbudowy o:</w:t>
            </w:r>
          </w:p>
          <w:p w14:paraId="46B95C66"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dodatkowy port typu </w:t>
            </w:r>
            <w:proofErr w:type="spellStart"/>
            <w:r w:rsidRPr="00BA4867">
              <w:rPr>
                <w:rFonts w:asciiTheme="minorHAnsi" w:eastAsiaTheme="minorHAnsi" w:hAnsiTheme="minorHAnsi" w:cstheme="minorHAnsi"/>
                <w:lang w:eastAsia="en-US"/>
              </w:rPr>
              <w:t>DisplayPort</w:t>
            </w:r>
            <w:proofErr w:type="spellEnd"/>
            <w:r w:rsidRPr="00BA4867">
              <w:rPr>
                <w:rFonts w:asciiTheme="minorHAnsi" w:eastAsiaTheme="minorHAnsi" w:hAnsiTheme="minorHAnsi" w:cstheme="minorHAnsi"/>
                <w:lang w:eastAsia="en-US"/>
              </w:rPr>
              <w:t xml:space="preserve"> dostępny z przodu serwera</w:t>
            </w:r>
          </w:p>
          <w:p w14:paraId="501A9569"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port szeregowy typu DB9/DE-9 (9 </w:t>
            </w:r>
            <w:proofErr w:type="spellStart"/>
            <w:r w:rsidRPr="00BA4867">
              <w:rPr>
                <w:rFonts w:asciiTheme="minorHAnsi" w:eastAsiaTheme="minorHAnsi" w:hAnsiTheme="minorHAnsi" w:cstheme="minorHAnsi"/>
                <w:lang w:eastAsia="en-US"/>
              </w:rPr>
              <w:t>pinowy</w:t>
            </w:r>
            <w:proofErr w:type="spellEnd"/>
            <w:r w:rsidRPr="00BA4867">
              <w:rPr>
                <w:rFonts w:asciiTheme="minorHAnsi" w:eastAsiaTheme="minorHAnsi" w:hAnsiTheme="minorHAnsi" w:cstheme="minorHAnsi"/>
                <w:lang w:eastAsia="en-US"/>
              </w:rPr>
              <w:t>), wyprowadzony na zewnątrz obudowy bez pośrednictwa portu USB/RJ45</w:t>
            </w:r>
          </w:p>
        </w:tc>
      </w:tr>
      <w:tr w:rsidR="00BA4867" w:rsidRPr="00BA4867" w14:paraId="3D4A4BC2"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65F6CC29"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Zasilacz</w:t>
            </w:r>
          </w:p>
        </w:tc>
        <w:tc>
          <w:tcPr>
            <w:tcW w:w="7110" w:type="dxa"/>
          </w:tcPr>
          <w:p w14:paraId="48032FB7"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2 szt., typu Hot-plug, redundantne, każdy o mocy minimum 800W.</w:t>
            </w:r>
          </w:p>
        </w:tc>
      </w:tr>
      <w:tr w:rsidR="00BA4867" w:rsidRPr="00BA4867" w14:paraId="7EF40385"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664927DE"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Karta/moduł zarządzający</w:t>
            </w:r>
          </w:p>
        </w:tc>
        <w:tc>
          <w:tcPr>
            <w:tcW w:w="7110" w:type="dxa"/>
            <w:vAlign w:val="center"/>
          </w:tcPr>
          <w:p w14:paraId="1F8B5A0D"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Niezależna od system operacyjnego, zintegrowana z płytą główną serwera lub jako dodatkowa karta w slocie PCI Express, jednak nie może ona powodować zmniejszenia </w:t>
            </w:r>
            <w:proofErr w:type="spellStart"/>
            <w:r w:rsidRPr="00BA4867">
              <w:rPr>
                <w:rFonts w:asciiTheme="minorHAnsi" w:eastAsiaTheme="minorHAnsi" w:hAnsiTheme="minorHAnsi" w:cstheme="minorHAnsi"/>
                <w:lang w:eastAsia="en-US"/>
              </w:rPr>
              <w:t>mininmalnej</w:t>
            </w:r>
            <w:proofErr w:type="spellEnd"/>
            <w:r w:rsidRPr="00BA4867">
              <w:rPr>
                <w:rFonts w:asciiTheme="minorHAnsi" w:eastAsiaTheme="minorHAnsi" w:hAnsiTheme="minorHAnsi" w:cstheme="minorHAnsi"/>
                <w:lang w:eastAsia="en-US"/>
              </w:rPr>
              <w:t xml:space="preserve"> liczby gniazd </w:t>
            </w:r>
            <w:proofErr w:type="spellStart"/>
            <w:r w:rsidRPr="00BA4867">
              <w:rPr>
                <w:rFonts w:asciiTheme="minorHAnsi" w:eastAsiaTheme="minorHAnsi" w:hAnsiTheme="minorHAnsi" w:cstheme="minorHAnsi"/>
                <w:lang w:eastAsia="en-US"/>
              </w:rPr>
              <w:t>PCIe</w:t>
            </w:r>
            <w:proofErr w:type="spellEnd"/>
            <w:r w:rsidRPr="00BA4867">
              <w:rPr>
                <w:rFonts w:asciiTheme="minorHAnsi" w:eastAsiaTheme="minorHAnsi" w:hAnsiTheme="minorHAnsi" w:cstheme="minorHAnsi"/>
                <w:lang w:eastAsia="en-US"/>
              </w:rPr>
              <w:t xml:space="preserve"> w serwerze, posiadająca minimalną funkcjonalność:</w:t>
            </w:r>
          </w:p>
          <w:p w14:paraId="400A558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monitorowanie podzespołów serwera: temperatura, zasilacze, wentylatory, procesory, pamięć RAM, kontrolery macierzowe i dyski(fizyczne i logiczne), karty sieciowe </w:t>
            </w:r>
          </w:p>
          <w:p w14:paraId="677EF2DA"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wparcie dla agentów zarządzających oraz możliwość pracy w trybie </w:t>
            </w:r>
            <w:proofErr w:type="spellStart"/>
            <w:r w:rsidRPr="00BA4867">
              <w:rPr>
                <w:rFonts w:asciiTheme="minorHAnsi" w:eastAsiaTheme="minorHAnsi" w:hAnsiTheme="minorHAnsi" w:cstheme="minorHAnsi"/>
                <w:lang w:eastAsia="en-US"/>
              </w:rPr>
              <w:t>bezagentowym</w:t>
            </w:r>
            <w:proofErr w:type="spellEnd"/>
            <w:r w:rsidRPr="00BA4867">
              <w:rPr>
                <w:rFonts w:asciiTheme="minorHAnsi" w:eastAsiaTheme="minorHAnsi" w:hAnsiTheme="minorHAnsi" w:cstheme="minorHAnsi"/>
                <w:lang w:eastAsia="en-US"/>
              </w:rPr>
              <w:t xml:space="preserve"> – bez agentów zarządzania instalowanych w systemie operacyjnym z generowaniem alertów SNMP</w:t>
            </w:r>
          </w:p>
          <w:p w14:paraId="0C378FDB"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dostęp do karty zarządzającej poprzez </w:t>
            </w:r>
          </w:p>
          <w:p w14:paraId="4A96854C"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dedykowany port RJ45 z tyłu serwera lub </w:t>
            </w:r>
          </w:p>
          <w:p w14:paraId="0B848C0E"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przez współdzielony port zintegrowanej karty sieciowej serwera  </w:t>
            </w:r>
          </w:p>
          <w:p w14:paraId="76FDA796" w14:textId="77777777" w:rsidR="00BA4867" w:rsidRPr="00BA4867" w:rsidRDefault="00BA4867" w:rsidP="00BA4867">
            <w:pPr>
              <w:spacing w:after="200" w:line="276" w:lineRule="auto"/>
              <w:ind w:left="720"/>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      dostęp do karty możliwy </w:t>
            </w:r>
          </w:p>
          <w:p w14:paraId="7C130FAA"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 poziomu przeglądarki webowej (GUI)</w:t>
            </w:r>
          </w:p>
          <w:p w14:paraId="024CD570"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val="en-GB" w:eastAsia="en-US"/>
              </w:rPr>
            </w:pPr>
            <w:r w:rsidRPr="00BA4867">
              <w:rPr>
                <w:rFonts w:asciiTheme="minorHAnsi" w:eastAsiaTheme="minorHAnsi" w:hAnsiTheme="minorHAnsi" w:cstheme="minorHAnsi"/>
                <w:lang w:val="en-GB" w:eastAsia="en-US"/>
              </w:rPr>
              <w:t xml:space="preserve">z </w:t>
            </w:r>
            <w:proofErr w:type="spellStart"/>
            <w:r w:rsidRPr="00BA4867">
              <w:rPr>
                <w:rFonts w:asciiTheme="minorHAnsi" w:eastAsiaTheme="minorHAnsi" w:hAnsiTheme="minorHAnsi" w:cstheme="minorHAnsi"/>
                <w:lang w:val="en-GB" w:eastAsia="en-US"/>
              </w:rPr>
              <w:t>poziomu</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linii</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komend</w:t>
            </w:r>
            <w:proofErr w:type="spellEnd"/>
            <w:r w:rsidRPr="00BA4867">
              <w:rPr>
                <w:rFonts w:asciiTheme="minorHAnsi" w:eastAsiaTheme="minorHAnsi" w:hAnsiTheme="minorHAnsi" w:cstheme="minorHAnsi"/>
                <w:lang w:val="en-GB" w:eastAsia="en-US"/>
              </w:rPr>
              <w:t xml:space="preserve"> zgodnie z DMTF System Management Architecture for Server Hardware, Server Management Command Line Protocol (SM CLP)</w:t>
            </w:r>
          </w:p>
          <w:p w14:paraId="58A4D3B9"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 poziomu skryptu (XML/Perl)</w:t>
            </w:r>
          </w:p>
          <w:p w14:paraId="465B363A"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val="en-GB" w:eastAsia="en-US"/>
              </w:rPr>
            </w:pPr>
            <w:proofErr w:type="spellStart"/>
            <w:r w:rsidRPr="00BA4867">
              <w:rPr>
                <w:rFonts w:asciiTheme="minorHAnsi" w:eastAsiaTheme="minorHAnsi" w:hAnsiTheme="minorHAnsi" w:cstheme="minorHAnsi"/>
                <w:lang w:val="en-GB" w:eastAsia="en-US"/>
              </w:rPr>
              <w:t>poprzez</w:t>
            </w:r>
            <w:proofErr w:type="spellEnd"/>
            <w:r w:rsidRPr="00BA4867">
              <w:rPr>
                <w:rFonts w:asciiTheme="minorHAnsi" w:eastAsiaTheme="minorHAnsi" w:hAnsiTheme="minorHAnsi" w:cstheme="minorHAnsi"/>
                <w:lang w:val="en-GB" w:eastAsia="en-US"/>
              </w:rPr>
              <w:t xml:space="preserve"> </w:t>
            </w:r>
            <w:proofErr w:type="spellStart"/>
            <w:r w:rsidRPr="00BA4867">
              <w:rPr>
                <w:rFonts w:asciiTheme="minorHAnsi" w:eastAsiaTheme="minorHAnsi" w:hAnsiTheme="minorHAnsi" w:cstheme="minorHAnsi"/>
                <w:lang w:val="en-GB" w:eastAsia="en-US"/>
              </w:rPr>
              <w:t>interfejs</w:t>
            </w:r>
            <w:proofErr w:type="spellEnd"/>
            <w:r w:rsidRPr="00BA4867">
              <w:rPr>
                <w:rFonts w:asciiTheme="minorHAnsi" w:eastAsiaTheme="minorHAnsi" w:hAnsiTheme="minorHAnsi" w:cstheme="minorHAnsi"/>
                <w:lang w:val="en-GB" w:eastAsia="en-US"/>
              </w:rPr>
              <w:t xml:space="preserve"> IPMI 2.0 (Intelligent Platform Management Interface)</w:t>
            </w:r>
          </w:p>
          <w:p w14:paraId="343C2DA2"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wbudowane narzędzia diagnostyczne</w:t>
            </w:r>
          </w:p>
          <w:p w14:paraId="03AF5C2C"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zdalna konfiguracji serwera(BIOS) i instalacji systemu operacyjnego</w:t>
            </w:r>
          </w:p>
          <w:p w14:paraId="796FBFED"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obsługa mechanizmu </w:t>
            </w:r>
            <w:proofErr w:type="spellStart"/>
            <w:r w:rsidRPr="00BA4867">
              <w:rPr>
                <w:rFonts w:asciiTheme="minorHAnsi" w:eastAsiaTheme="minorHAnsi" w:hAnsiTheme="minorHAnsi" w:cstheme="minorHAnsi"/>
                <w:lang w:eastAsia="en-US"/>
              </w:rPr>
              <w:t>remote</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support</w:t>
            </w:r>
            <w:proofErr w:type="spellEnd"/>
            <w:r w:rsidRPr="00BA4867">
              <w:rPr>
                <w:rFonts w:asciiTheme="minorHAnsi" w:eastAsiaTheme="minorHAnsi" w:hAnsiTheme="minorHAnsi" w:cstheme="minorHAnsi"/>
                <w:lang w:eastAsia="en-US"/>
              </w:rPr>
              <w:t xml:space="preserve">  - automatyczne połączenie karty z serwisem producenta sprzętu, automatyczne przesyłanie alertów, zgłoszeń serwisowych i zdalne monitorowanie</w:t>
            </w:r>
          </w:p>
          <w:p w14:paraId="4F22CCED"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wbudowany mechanizm logowania zdarzeń serwera i karty zarządzającej w tym włączanie/wyłączanie serwera, restart, zmiany w konfiguracji, logowanie użytkowników</w:t>
            </w:r>
          </w:p>
          <w:p w14:paraId="051C743F"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przesyłanie alertów poprzez e-mail oraz przekierowanie SNMP (SNMP </w:t>
            </w:r>
            <w:proofErr w:type="spellStart"/>
            <w:r w:rsidRPr="00BA4867">
              <w:rPr>
                <w:rFonts w:asciiTheme="minorHAnsi" w:eastAsiaTheme="minorHAnsi" w:hAnsiTheme="minorHAnsi" w:cstheme="minorHAnsi"/>
                <w:lang w:eastAsia="en-US"/>
              </w:rPr>
              <w:t>passthrough</w:t>
            </w:r>
            <w:proofErr w:type="spellEnd"/>
            <w:r w:rsidRPr="00BA4867">
              <w:rPr>
                <w:rFonts w:asciiTheme="minorHAnsi" w:eastAsiaTheme="minorHAnsi" w:hAnsiTheme="minorHAnsi" w:cstheme="minorHAnsi"/>
                <w:lang w:eastAsia="en-US"/>
              </w:rPr>
              <w:t>)</w:t>
            </w:r>
          </w:p>
          <w:p w14:paraId="2FA447B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obsługa zdalnego serwera logowania (</w:t>
            </w:r>
            <w:proofErr w:type="spellStart"/>
            <w:r w:rsidRPr="00BA4867">
              <w:rPr>
                <w:rFonts w:asciiTheme="minorHAnsi" w:eastAsiaTheme="minorHAnsi" w:hAnsiTheme="minorHAnsi" w:cstheme="minorHAnsi"/>
                <w:lang w:eastAsia="en-US"/>
              </w:rPr>
              <w:t>remote</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syslog</w:t>
            </w:r>
            <w:proofErr w:type="spellEnd"/>
            <w:r w:rsidRPr="00BA4867">
              <w:rPr>
                <w:rFonts w:asciiTheme="minorHAnsi" w:eastAsiaTheme="minorHAnsi" w:hAnsiTheme="minorHAnsi" w:cstheme="minorHAnsi"/>
                <w:lang w:eastAsia="en-US"/>
              </w:rPr>
              <w:t>)</w:t>
            </w:r>
          </w:p>
          <w:p w14:paraId="4C5F0A9F"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wirtualna </w:t>
            </w:r>
            <w:proofErr w:type="spellStart"/>
            <w:r w:rsidRPr="00BA4867">
              <w:rPr>
                <w:rFonts w:asciiTheme="minorHAnsi" w:eastAsiaTheme="minorHAnsi" w:hAnsiTheme="minorHAnsi" w:cstheme="minorHAnsi"/>
                <w:lang w:eastAsia="en-US"/>
              </w:rPr>
              <w:t>zadalna</w:t>
            </w:r>
            <w:proofErr w:type="spellEnd"/>
            <w:r w:rsidRPr="00BA4867">
              <w:rPr>
                <w:rFonts w:asciiTheme="minorHAnsi" w:eastAsiaTheme="minorHAnsi" w:hAnsiTheme="minorHAnsi" w:cstheme="minorHAnsi"/>
                <w:lang w:eastAsia="en-US"/>
              </w:rPr>
              <w:t xml:space="preserve"> konsola, tekstowa i graficzna, z dostępem do myszy i klawiatury i możliwością podłączenia wirtualnych napędów FDD, CD/DVD i USB i </w:t>
            </w:r>
            <w:proofErr w:type="spellStart"/>
            <w:r w:rsidRPr="00BA4867">
              <w:rPr>
                <w:rFonts w:asciiTheme="minorHAnsi" w:eastAsiaTheme="minorHAnsi" w:hAnsiTheme="minorHAnsi" w:cstheme="minorHAnsi"/>
                <w:lang w:eastAsia="en-US"/>
              </w:rPr>
              <w:t>i</w:t>
            </w:r>
            <w:proofErr w:type="spellEnd"/>
            <w:r w:rsidRPr="00BA4867">
              <w:rPr>
                <w:rFonts w:asciiTheme="minorHAnsi" w:eastAsiaTheme="minorHAnsi" w:hAnsiTheme="minorHAnsi" w:cstheme="minorHAnsi"/>
                <w:lang w:eastAsia="en-US"/>
              </w:rPr>
              <w:t xml:space="preserve"> wirtualnych folderów </w:t>
            </w:r>
          </w:p>
          <w:p w14:paraId="75274DE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mechanizm przechwytywania, nagrywania i odtwarzania sekwencji video dla ostatniej awarii  i ostatniego startu serwera a także nagrywanie na żądanie</w:t>
            </w:r>
          </w:p>
          <w:p w14:paraId="7FE37B97"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funkcja zdalnej konsoli szeregowej - </w:t>
            </w:r>
            <w:proofErr w:type="spellStart"/>
            <w:r w:rsidRPr="00BA4867">
              <w:rPr>
                <w:rFonts w:asciiTheme="minorHAnsi" w:eastAsiaTheme="minorHAnsi" w:hAnsiTheme="minorHAnsi" w:cstheme="minorHAnsi"/>
                <w:lang w:eastAsia="en-US"/>
              </w:rPr>
              <w:t>Textcons</w:t>
            </w:r>
            <w:proofErr w:type="spellEnd"/>
            <w:r w:rsidRPr="00BA4867">
              <w:rPr>
                <w:rFonts w:asciiTheme="minorHAnsi" w:eastAsiaTheme="minorHAnsi" w:hAnsiTheme="minorHAnsi" w:cstheme="minorHAnsi"/>
                <w:lang w:eastAsia="en-US"/>
              </w:rPr>
              <w:t xml:space="preserve"> przez SSH (wirtualny port szeregowy) z funkcją nagrywania i odtwarzania sekwencji zdarzeń i aktywności </w:t>
            </w:r>
          </w:p>
          <w:p w14:paraId="55093B6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monitorowanie zasilania oraz zużycia energii przez serwer w czasie rzeczywistym z możliwością graficznej prezentacji</w:t>
            </w:r>
          </w:p>
          <w:p w14:paraId="5E37C4E3"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konfiguracja maksymalnego poziomu pobieranej mocy przez serwer (</w:t>
            </w:r>
            <w:proofErr w:type="spellStart"/>
            <w:r w:rsidRPr="00BA4867">
              <w:rPr>
                <w:rFonts w:asciiTheme="minorHAnsi" w:eastAsiaTheme="minorHAnsi" w:hAnsiTheme="minorHAnsi" w:cstheme="minorHAnsi"/>
                <w:lang w:eastAsia="en-US"/>
              </w:rPr>
              <w:t>capping</w:t>
            </w:r>
            <w:proofErr w:type="spellEnd"/>
            <w:r w:rsidRPr="00BA4867">
              <w:rPr>
                <w:rFonts w:asciiTheme="minorHAnsi" w:eastAsiaTheme="minorHAnsi" w:hAnsiTheme="minorHAnsi" w:cstheme="minorHAnsi"/>
                <w:lang w:eastAsia="en-US"/>
              </w:rPr>
              <w:t xml:space="preserve">) </w:t>
            </w:r>
          </w:p>
          <w:p w14:paraId="1C8931B4"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zdalna aktualizacja oprogramowania (</w:t>
            </w:r>
            <w:proofErr w:type="spellStart"/>
            <w:r w:rsidRPr="00BA4867">
              <w:rPr>
                <w:rFonts w:asciiTheme="minorHAnsi" w:eastAsiaTheme="minorHAnsi" w:hAnsiTheme="minorHAnsi" w:cstheme="minorHAnsi"/>
                <w:lang w:eastAsia="en-US"/>
              </w:rPr>
              <w:t>firmware</w:t>
            </w:r>
            <w:proofErr w:type="spellEnd"/>
            <w:r w:rsidRPr="00BA4867">
              <w:rPr>
                <w:rFonts w:asciiTheme="minorHAnsi" w:eastAsiaTheme="minorHAnsi" w:hAnsiTheme="minorHAnsi" w:cstheme="minorHAnsi"/>
                <w:lang w:eastAsia="en-US"/>
              </w:rPr>
              <w:t>)</w:t>
            </w:r>
          </w:p>
          <w:p w14:paraId="564475D2"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zarządzanie grupami serwerów, w tym:</w:t>
            </w:r>
          </w:p>
          <w:p w14:paraId="1B68D24E"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tworzenie i konfiguracja grup serwerów</w:t>
            </w:r>
          </w:p>
          <w:p w14:paraId="1F58CC16"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sterowanie zasilaniem (</w:t>
            </w:r>
            <w:proofErr w:type="spellStart"/>
            <w:r w:rsidRPr="00BA4867">
              <w:rPr>
                <w:rFonts w:asciiTheme="minorHAnsi" w:eastAsiaTheme="minorHAnsi" w:hAnsiTheme="minorHAnsi" w:cstheme="minorHAnsi"/>
                <w:lang w:eastAsia="en-US"/>
              </w:rPr>
              <w:t>wł</w:t>
            </w:r>
            <w:proofErr w:type="spellEnd"/>
            <w:r w:rsidRPr="00BA4867">
              <w:rPr>
                <w:rFonts w:asciiTheme="minorHAnsi" w:eastAsiaTheme="minorHAnsi" w:hAnsiTheme="minorHAnsi" w:cstheme="minorHAnsi"/>
                <w:lang w:eastAsia="en-US"/>
              </w:rPr>
              <w:t xml:space="preserve">/wył) </w:t>
            </w:r>
          </w:p>
          <w:p w14:paraId="2C9A21FD"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ograniczenie poboru mocy dla grupy (</w:t>
            </w:r>
            <w:proofErr w:type="spellStart"/>
            <w:r w:rsidRPr="00BA4867">
              <w:rPr>
                <w:rFonts w:asciiTheme="minorHAnsi" w:eastAsiaTheme="minorHAnsi" w:hAnsiTheme="minorHAnsi" w:cstheme="minorHAnsi"/>
                <w:lang w:eastAsia="en-US"/>
              </w:rPr>
              <w:t>power</w:t>
            </w:r>
            <w:proofErr w:type="spellEnd"/>
            <w:r w:rsidRPr="00BA4867">
              <w:rPr>
                <w:rFonts w:asciiTheme="minorHAnsi" w:eastAsiaTheme="minorHAnsi" w:hAnsiTheme="minorHAnsi" w:cstheme="minorHAnsi"/>
                <w:lang w:eastAsia="en-US"/>
              </w:rPr>
              <w:t xml:space="preserve"> </w:t>
            </w:r>
            <w:proofErr w:type="spellStart"/>
            <w:r w:rsidRPr="00BA4867">
              <w:rPr>
                <w:rFonts w:asciiTheme="minorHAnsi" w:eastAsiaTheme="minorHAnsi" w:hAnsiTheme="minorHAnsi" w:cstheme="minorHAnsi"/>
                <w:lang w:eastAsia="en-US"/>
              </w:rPr>
              <w:t>caping</w:t>
            </w:r>
            <w:proofErr w:type="spellEnd"/>
            <w:r w:rsidRPr="00BA4867">
              <w:rPr>
                <w:rFonts w:asciiTheme="minorHAnsi" w:eastAsiaTheme="minorHAnsi" w:hAnsiTheme="minorHAnsi" w:cstheme="minorHAnsi"/>
                <w:lang w:eastAsia="en-US"/>
              </w:rPr>
              <w:t>)</w:t>
            </w:r>
          </w:p>
          <w:p w14:paraId="3016B104"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aktualizacja oprogramowania (</w:t>
            </w:r>
            <w:proofErr w:type="spellStart"/>
            <w:r w:rsidRPr="00BA4867">
              <w:rPr>
                <w:rFonts w:asciiTheme="minorHAnsi" w:eastAsiaTheme="minorHAnsi" w:hAnsiTheme="minorHAnsi" w:cstheme="minorHAnsi"/>
                <w:lang w:eastAsia="en-US"/>
              </w:rPr>
              <w:t>firmware</w:t>
            </w:r>
            <w:proofErr w:type="spellEnd"/>
            <w:r w:rsidRPr="00BA4867">
              <w:rPr>
                <w:rFonts w:asciiTheme="minorHAnsi" w:eastAsiaTheme="minorHAnsi" w:hAnsiTheme="minorHAnsi" w:cstheme="minorHAnsi"/>
                <w:lang w:eastAsia="en-US"/>
              </w:rPr>
              <w:t>)</w:t>
            </w:r>
          </w:p>
          <w:p w14:paraId="7191B294" w14:textId="77777777" w:rsidR="00BA4867" w:rsidRPr="00BA4867" w:rsidRDefault="00BA4867" w:rsidP="00BA4867">
            <w:pPr>
              <w:numPr>
                <w:ilvl w:val="1"/>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wspólne wirtualne media dla grupy</w:t>
            </w:r>
          </w:p>
          <w:p w14:paraId="7D7CC695"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możliwość równoczesnej obsługi przez 6 administratorów</w:t>
            </w:r>
          </w:p>
          <w:p w14:paraId="36DB34D8"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autentykacja dwuskładnikowa (</w:t>
            </w:r>
            <w:proofErr w:type="spellStart"/>
            <w:r w:rsidRPr="00BA4867">
              <w:rPr>
                <w:rFonts w:asciiTheme="minorHAnsi" w:eastAsiaTheme="minorHAnsi" w:hAnsiTheme="minorHAnsi" w:cstheme="minorHAnsi"/>
                <w:lang w:eastAsia="en-US"/>
              </w:rPr>
              <w:t>Kerberos</w:t>
            </w:r>
            <w:proofErr w:type="spellEnd"/>
            <w:r w:rsidRPr="00BA4867">
              <w:rPr>
                <w:rFonts w:asciiTheme="minorHAnsi" w:eastAsiaTheme="minorHAnsi" w:hAnsiTheme="minorHAnsi" w:cstheme="minorHAnsi"/>
                <w:lang w:eastAsia="en-US"/>
              </w:rPr>
              <w:t>)</w:t>
            </w:r>
          </w:p>
          <w:p w14:paraId="12871FE8"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wsparcie dla Microsoft Active Directory</w:t>
            </w:r>
          </w:p>
          <w:p w14:paraId="64DFCE29"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obsługa SSL i SSH</w:t>
            </w:r>
          </w:p>
          <w:p w14:paraId="78F4F4A6"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proofErr w:type="spellStart"/>
            <w:r w:rsidRPr="00BA4867">
              <w:rPr>
                <w:rFonts w:asciiTheme="minorHAnsi" w:eastAsiaTheme="minorHAnsi" w:hAnsiTheme="minorHAnsi" w:cstheme="minorHAnsi"/>
                <w:lang w:eastAsia="en-US"/>
              </w:rPr>
              <w:t>enkrypcja</w:t>
            </w:r>
            <w:proofErr w:type="spellEnd"/>
            <w:r w:rsidRPr="00BA4867">
              <w:rPr>
                <w:rFonts w:asciiTheme="minorHAnsi" w:eastAsiaTheme="minorHAnsi" w:hAnsiTheme="minorHAnsi" w:cstheme="minorHAnsi"/>
                <w:lang w:eastAsia="en-US"/>
              </w:rPr>
              <w:t xml:space="preserve"> AES/3DES oraz RC4 dla zdalnej konsoli</w:t>
            </w:r>
          </w:p>
          <w:p w14:paraId="685A8AE0"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wsparcie dla IPv4 oraz iPv6, obsługa SNMP v3 oraz </w:t>
            </w:r>
            <w:proofErr w:type="spellStart"/>
            <w:r w:rsidRPr="00BA4867">
              <w:rPr>
                <w:rFonts w:asciiTheme="minorHAnsi" w:eastAsiaTheme="minorHAnsi" w:hAnsiTheme="minorHAnsi" w:cstheme="minorHAnsi"/>
                <w:lang w:eastAsia="en-US"/>
              </w:rPr>
              <w:t>RESTful</w:t>
            </w:r>
            <w:proofErr w:type="spellEnd"/>
            <w:r w:rsidRPr="00BA4867">
              <w:rPr>
                <w:rFonts w:asciiTheme="minorHAnsi" w:eastAsiaTheme="minorHAnsi" w:hAnsiTheme="minorHAnsi" w:cstheme="minorHAnsi"/>
                <w:lang w:eastAsia="en-US"/>
              </w:rPr>
              <w:t xml:space="preserve"> API</w:t>
            </w:r>
          </w:p>
          <w:p w14:paraId="748E95E7"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val="en-GB" w:eastAsia="en-US"/>
              </w:rPr>
            </w:pPr>
            <w:proofErr w:type="spellStart"/>
            <w:r w:rsidRPr="00BA4867">
              <w:rPr>
                <w:rFonts w:asciiTheme="minorHAnsi" w:eastAsiaTheme="minorHAnsi" w:hAnsiTheme="minorHAnsi" w:cstheme="minorHAnsi"/>
                <w:lang w:val="en-GB" w:eastAsia="en-US"/>
              </w:rPr>
              <w:t>wsparcie</w:t>
            </w:r>
            <w:proofErr w:type="spellEnd"/>
            <w:r w:rsidRPr="00BA4867">
              <w:rPr>
                <w:rFonts w:asciiTheme="minorHAnsi" w:eastAsiaTheme="minorHAnsi" w:hAnsiTheme="minorHAnsi" w:cstheme="minorHAnsi"/>
                <w:lang w:val="en-GB" w:eastAsia="en-US"/>
              </w:rPr>
              <w:t xml:space="preserve"> dla Integrated Remote Console for Windows clients</w:t>
            </w:r>
          </w:p>
          <w:p w14:paraId="1D19B9A7" w14:textId="77777777" w:rsidR="00BA4867" w:rsidRPr="00BA4867" w:rsidRDefault="00BA4867" w:rsidP="00BA4867">
            <w:pPr>
              <w:numPr>
                <w:ilvl w:val="0"/>
                <w:numId w:val="15"/>
              </w:numPr>
              <w:spacing w:after="200" w:line="276" w:lineRule="auto"/>
              <w:contextualSpacing/>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możliwość </w:t>
            </w:r>
            <w:proofErr w:type="spellStart"/>
            <w:r w:rsidRPr="00BA4867">
              <w:rPr>
                <w:rFonts w:asciiTheme="minorHAnsi" w:eastAsiaTheme="minorHAnsi" w:hAnsiTheme="minorHAnsi" w:cstheme="minorHAnsi"/>
                <w:lang w:eastAsia="en-US"/>
              </w:rPr>
              <w:t>autokonfiguracji</w:t>
            </w:r>
            <w:proofErr w:type="spellEnd"/>
            <w:r w:rsidRPr="00BA4867">
              <w:rPr>
                <w:rFonts w:asciiTheme="minorHAnsi" w:eastAsiaTheme="minorHAnsi" w:hAnsiTheme="minorHAnsi" w:cstheme="minorHAnsi"/>
                <w:lang w:eastAsia="en-US"/>
              </w:rPr>
              <w:t xml:space="preserve"> sieci karty </w:t>
            </w:r>
            <w:proofErr w:type="spellStart"/>
            <w:r w:rsidRPr="00BA4867">
              <w:rPr>
                <w:rFonts w:asciiTheme="minorHAnsi" w:eastAsiaTheme="minorHAnsi" w:hAnsiTheme="minorHAnsi" w:cstheme="minorHAnsi"/>
                <w:lang w:eastAsia="en-US"/>
              </w:rPr>
              <w:t>zarządzającejj</w:t>
            </w:r>
            <w:proofErr w:type="spellEnd"/>
            <w:r w:rsidRPr="00BA4867">
              <w:rPr>
                <w:rFonts w:asciiTheme="minorHAnsi" w:eastAsiaTheme="minorHAnsi" w:hAnsiTheme="minorHAnsi" w:cstheme="minorHAnsi"/>
                <w:lang w:eastAsia="en-US"/>
              </w:rPr>
              <w:t xml:space="preserve"> (DNS/DHCP)</w:t>
            </w:r>
          </w:p>
        </w:tc>
      </w:tr>
      <w:tr w:rsidR="00BA4867" w:rsidRPr="00BA4867" w14:paraId="3C5FC64B"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72380CEF"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System Operacyjny i oprogramowanie</w:t>
            </w:r>
          </w:p>
        </w:tc>
        <w:tc>
          <w:tcPr>
            <w:tcW w:w="7110" w:type="dxa"/>
            <w:vAlign w:val="center"/>
          </w:tcPr>
          <w:p w14:paraId="6B552455"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Wraz z serwerem należy dostarczyć Windows Serwer 2022 Standard na wszystkie fizyczne rdzenie zainstalowanych procesorów w serwerze tak, aby umożliwiały uruchomienie 4 maszyn wirtualnych. Dopuszcza się licencje OEM.</w:t>
            </w:r>
          </w:p>
        </w:tc>
      </w:tr>
      <w:tr w:rsidR="00BA4867" w:rsidRPr="00BA4867" w14:paraId="65A09EE8"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4146F700"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Wsparcie techniczne</w:t>
            </w:r>
          </w:p>
        </w:tc>
        <w:tc>
          <w:tcPr>
            <w:tcW w:w="7110" w:type="dxa"/>
            <w:vAlign w:val="center"/>
          </w:tcPr>
          <w:p w14:paraId="5A7E86FA"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3-letnia gwarancja producenta w miejscu instalacji.</w:t>
            </w:r>
          </w:p>
          <w:p w14:paraId="430D05B4"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Czas reakcji w miejscu instalacji w ciągu następnego dnia roboczego od zgłoszenia usterki. Wsparcie techniczne realizowane jest przez serwis producenta oferowanego serwera.</w:t>
            </w:r>
          </w:p>
        </w:tc>
      </w:tr>
      <w:tr w:rsidR="00BA4867" w:rsidRPr="00BA4867" w14:paraId="726CC544" w14:textId="77777777" w:rsidTr="00ED29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00" w:type="dxa"/>
          </w:tcPr>
          <w:p w14:paraId="5DFD2649" w14:textId="77777777" w:rsidR="00BA4867" w:rsidRPr="00BA4867" w:rsidRDefault="00BA4867" w:rsidP="00BA4867">
            <w:pPr>
              <w:autoSpaceDE w:val="0"/>
              <w:autoSpaceDN w:val="0"/>
              <w:adjustRightInd w:val="0"/>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lastRenderedPageBreak/>
              <w:t>Inne</w:t>
            </w:r>
          </w:p>
        </w:tc>
        <w:tc>
          <w:tcPr>
            <w:tcW w:w="7110" w:type="dxa"/>
            <w:vAlign w:val="center"/>
          </w:tcPr>
          <w:p w14:paraId="53B2AFF6"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Urządzenia muszą być zakupione w oficjalnym kanale dystrybucyjnym producenta. Na żądanie Zamawiającego, Wykonawca musi przedstawić oświadczenie producenta oferowanego serwera, potwierdzające pochodzenie urządzenia z oficjalnego kanału dystrybucyjnego producenta.</w:t>
            </w:r>
          </w:p>
          <w:p w14:paraId="09154A5C"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Wymagane są dokumenty poświadczające, że sprzęt jest produkowany zgodnie z normami ISO 9001 oraz ISO 14001.</w:t>
            </w:r>
          </w:p>
          <w:p w14:paraId="10D264AC"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Deklaracja zgodności CE.</w:t>
            </w:r>
          </w:p>
        </w:tc>
      </w:tr>
    </w:tbl>
    <w:p w14:paraId="51D8B70A"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p>
    <w:p w14:paraId="01F2E5DC"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Tabela 3. Przełączniki SAN </w:t>
      </w:r>
      <w:proofErr w:type="spellStart"/>
      <w:r w:rsidRPr="00BA4867">
        <w:rPr>
          <w:rFonts w:asciiTheme="minorHAnsi" w:eastAsiaTheme="minorHAnsi" w:hAnsiTheme="minorHAnsi" w:cstheme="minorHAnsi"/>
          <w:lang w:eastAsia="en-US"/>
        </w:rPr>
        <w:t>iSCSI</w:t>
      </w:r>
      <w:proofErr w:type="spellEnd"/>
      <w:r w:rsidRPr="00BA4867">
        <w:rPr>
          <w:rFonts w:asciiTheme="minorHAnsi" w:eastAsiaTheme="minorHAnsi" w:hAnsiTheme="minorHAnsi" w:cstheme="minorHAnsi"/>
          <w:lang w:eastAsia="en-US"/>
        </w:rPr>
        <w:t>. Wymagane 2 sztuki.</w:t>
      </w:r>
    </w:p>
    <w:tbl>
      <w:tblPr>
        <w:tblStyle w:val="Tabela-Siatka1"/>
        <w:tblW w:w="9634" w:type="dxa"/>
        <w:tblInd w:w="0" w:type="dxa"/>
        <w:tblLook w:val="04A0" w:firstRow="1" w:lastRow="0" w:firstColumn="1" w:lastColumn="0" w:noHBand="0" w:noVBand="1"/>
      </w:tblPr>
      <w:tblGrid>
        <w:gridCol w:w="9634"/>
      </w:tblGrid>
      <w:tr w:rsidR="00BA4867" w:rsidRPr="00BA4867" w14:paraId="1831A659" w14:textId="77777777" w:rsidTr="00ED2950">
        <w:tc>
          <w:tcPr>
            <w:tcW w:w="9634" w:type="dxa"/>
          </w:tcPr>
          <w:p w14:paraId="5E68D9A0"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być wyposażone w minimum 48 portów 1/10Gigabit Ethernet SFP/SFP+ oraz minimum 6 portów 40Gigabit Ethernet QSFP+ mogących również pracować z prędkością 100Gigabit Ethernet QSFP28.</w:t>
            </w:r>
          </w:p>
          <w:p w14:paraId="7771AB83"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być dostarczone z jednym  przewodem DAC 40GE QSFP+ o długości 3m do połączenia przełączników szkieletowych w stos. Kable DAC muszą pochodzić od producenta przełącznika celem uniknięcia problemów z serwisowaniem urządzenia i kompatybilnością.</w:t>
            </w:r>
          </w:p>
          <w:p w14:paraId="5ECDB002"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Urządzenie musi umożliwiać stworzenie wirtualnego systemu - złożonego z min. 2 przełączników szkieletowych będących przedmiotem opisu - zarządzanego jako jedno urządzenie logiczne. Urządzenia pracujące w takiej konfiguracji muszą umożliwiać połączenie w system z wykorzystaniem standardowych portów 40Gigabit Ethernet / 100 </w:t>
            </w:r>
            <w:proofErr w:type="spellStart"/>
            <w:r w:rsidRPr="00BA4867">
              <w:rPr>
                <w:rFonts w:asciiTheme="minorHAnsi" w:eastAsiaTheme="minorEastAsia" w:hAnsiTheme="minorHAnsi" w:cstheme="minorHAnsi"/>
              </w:rPr>
              <w:t>GigabitEthernet</w:t>
            </w:r>
            <w:proofErr w:type="spellEnd"/>
            <w:r w:rsidRPr="00BA4867">
              <w:rPr>
                <w:rFonts w:asciiTheme="minorHAnsi" w:eastAsiaTheme="minorEastAsia" w:hAnsiTheme="minorHAnsi" w:cstheme="minorHAnsi"/>
              </w:rPr>
              <w:t xml:space="preserve"> oraz modułów optycznych lub kabli DAC. </w:t>
            </w:r>
          </w:p>
          <w:p w14:paraId="13E61A77"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Musi istnieć możliwość terminowania połączeń link </w:t>
            </w:r>
            <w:proofErr w:type="spellStart"/>
            <w:r w:rsidRPr="00BA4867">
              <w:rPr>
                <w:rFonts w:asciiTheme="minorHAnsi" w:eastAsiaTheme="minorEastAsia" w:hAnsiTheme="minorHAnsi" w:cstheme="minorHAnsi"/>
              </w:rPr>
              <w:t>aggregation</w:t>
            </w:r>
            <w:proofErr w:type="spellEnd"/>
            <w:r w:rsidRPr="00BA4867">
              <w:rPr>
                <w:rFonts w:asciiTheme="minorHAnsi" w:eastAsiaTheme="minorEastAsia" w:hAnsiTheme="minorHAnsi" w:cstheme="minorHAnsi"/>
              </w:rPr>
              <w:t xml:space="preserve"> na dwóch przełącznikach tworzących taki system wirtualny (tzw. Multi-Chassis Link </w:t>
            </w:r>
            <w:proofErr w:type="spellStart"/>
            <w:r w:rsidRPr="00BA4867">
              <w:rPr>
                <w:rFonts w:asciiTheme="minorHAnsi" w:eastAsiaTheme="minorEastAsia" w:hAnsiTheme="minorHAnsi" w:cstheme="minorHAnsi"/>
              </w:rPr>
              <w:t>Aggregation</w:t>
            </w:r>
            <w:proofErr w:type="spellEnd"/>
            <w:r w:rsidRPr="00BA4867">
              <w:rPr>
                <w:rFonts w:asciiTheme="minorHAnsi" w:eastAsiaTheme="minorEastAsia" w:hAnsiTheme="minorHAnsi" w:cstheme="minorHAnsi"/>
              </w:rPr>
              <w:t>)</w:t>
            </w:r>
          </w:p>
          <w:p w14:paraId="7D92039F"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umożliwiać dołączenie zewnętrznych, wyniesionych przełączników dostępowych o łącznej ilości 2000 portów 10/100/1000BaseT z obsługą IEEE 802.3at (</w:t>
            </w:r>
            <w:proofErr w:type="spellStart"/>
            <w:r w:rsidRPr="00BA4867">
              <w:rPr>
                <w:rFonts w:asciiTheme="minorHAnsi" w:eastAsiaTheme="minorEastAsia" w:hAnsiTheme="minorHAnsi" w:cstheme="minorHAnsi"/>
              </w:rPr>
              <w:t>PoE</w:t>
            </w:r>
            <w:proofErr w:type="spellEnd"/>
            <w:r w:rsidRPr="00BA4867">
              <w:rPr>
                <w:rFonts w:asciiTheme="minorHAnsi" w:eastAsiaTheme="minorEastAsia" w:hAnsiTheme="minorHAnsi" w:cstheme="minorHAnsi"/>
              </w:rPr>
              <w:t xml:space="preserve">+). Zarządzanie konfiguracją portów na przełącznikach dostępowych musi być możliwe z poziomu przełącznika szkieletowego. Zamysłem Zamawiającego jest centralne zarządzanie konfiguracją wszystkich portów w sieci LAN z </w:t>
            </w:r>
            <w:proofErr w:type="spellStart"/>
            <w:r w:rsidRPr="00BA4867">
              <w:rPr>
                <w:rFonts w:asciiTheme="minorHAnsi" w:eastAsiaTheme="minorEastAsia" w:hAnsiTheme="minorHAnsi" w:cstheme="minorHAnsi"/>
              </w:rPr>
              <w:t>redundatnego</w:t>
            </w:r>
            <w:proofErr w:type="spellEnd"/>
            <w:r w:rsidRPr="00BA4867">
              <w:rPr>
                <w:rFonts w:asciiTheme="minorHAnsi" w:eastAsiaTheme="minorEastAsia" w:hAnsiTheme="minorHAnsi" w:cstheme="minorHAnsi"/>
              </w:rPr>
              <w:t xml:space="preserve"> urządzenia szkieletowego, poprzez przypisywanie centralnych szablonów/profili konfiguracji interfejsów do konkretnych portów przełączników dostępowych.</w:t>
            </w:r>
          </w:p>
          <w:p w14:paraId="65A1D409"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Urządzenie musi być wyposażone w wewnętrzne redundantne zasilacze 230V AC wspierające mechanizm </w:t>
            </w:r>
            <w:proofErr w:type="spellStart"/>
            <w:r w:rsidRPr="00BA4867">
              <w:rPr>
                <w:rFonts w:asciiTheme="minorHAnsi" w:eastAsiaTheme="minorEastAsia" w:hAnsiTheme="minorHAnsi" w:cstheme="minorHAnsi"/>
              </w:rPr>
              <w:t>HotSwap</w:t>
            </w:r>
            <w:proofErr w:type="spellEnd"/>
            <w:r w:rsidRPr="00BA4867">
              <w:rPr>
                <w:rFonts w:asciiTheme="minorHAnsi" w:eastAsiaTheme="minorEastAsia" w:hAnsiTheme="minorHAnsi" w:cstheme="minorHAnsi"/>
              </w:rPr>
              <w:t>.</w:t>
            </w:r>
          </w:p>
          <w:p w14:paraId="0C503F0E"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Urządzenie musi być wyposażone w wewnętrzne redundantne wentylatory wspierające mechanizm </w:t>
            </w:r>
            <w:proofErr w:type="spellStart"/>
            <w:r w:rsidRPr="00BA4867">
              <w:rPr>
                <w:rFonts w:asciiTheme="minorHAnsi" w:eastAsiaTheme="minorEastAsia" w:hAnsiTheme="minorHAnsi" w:cstheme="minorHAnsi"/>
              </w:rPr>
              <w:t>HotSwap</w:t>
            </w:r>
            <w:proofErr w:type="spellEnd"/>
          </w:p>
          <w:p w14:paraId="7D8FB122"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Wymagane parametry wydajnościowe:</w:t>
            </w:r>
          </w:p>
          <w:p w14:paraId="0C8B5646"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proofErr w:type="spellStart"/>
            <w:r w:rsidRPr="00BA4867">
              <w:rPr>
                <w:rFonts w:asciiTheme="minorHAnsi" w:eastAsiaTheme="minorEastAsia" w:hAnsiTheme="minorHAnsi" w:cstheme="minorHAnsi"/>
              </w:rPr>
              <w:t>Switching</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capacity</w:t>
            </w:r>
            <w:proofErr w:type="spellEnd"/>
            <w:r w:rsidRPr="00BA4867">
              <w:rPr>
                <w:rFonts w:asciiTheme="minorHAnsi" w:eastAsiaTheme="minorEastAsia" w:hAnsiTheme="minorHAnsi" w:cstheme="minorHAnsi"/>
              </w:rPr>
              <w:t xml:space="preserve">: minimum 2 </w:t>
            </w:r>
            <w:proofErr w:type="spellStart"/>
            <w:r w:rsidRPr="00BA4867">
              <w:rPr>
                <w:rFonts w:asciiTheme="minorHAnsi" w:eastAsiaTheme="minorEastAsia" w:hAnsiTheme="minorHAnsi" w:cstheme="minorHAnsi"/>
              </w:rPr>
              <w:t>Tbps</w:t>
            </w:r>
            <w:proofErr w:type="spellEnd"/>
          </w:p>
          <w:p w14:paraId="587964B7"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proofErr w:type="spellStart"/>
            <w:r w:rsidRPr="00BA4867">
              <w:rPr>
                <w:rFonts w:asciiTheme="minorHAnsi" w:eastAsiaTheme="minorEastAsia" w:hAnsiTheme="minorHAnsi" w:cstheme="minorHAnsi"/>
              </w:rPr>
              <w:t>Forwarding</w:t>
            </w:r>
            <w:proofErr w:type="spellEnd"/>
            <w:r w:rsidRPr="00BA4867">
              <w:rPr>
                <w:rFonts w:asciiTheme="minorHAnsi" w:eastAsiaTheme="minorEastAsia" w:hAnsiTheme="minorHAnsi" w:cstheme="minorHAnsi"/>
              </w:rPr>
              <w:t xml:space="preserve"> performance: minimum 480 </w:t>
            </w:r>
            <w:proofErr w:type="spellStart"/>
            <w:r w:rsidRPr="00BA4867">
              <w:rPr>
                <w:rFonts w:asciiTheme="minorHAnsi" w:eastAsiaTheme="minorEastAsia" w:hAnsiTheme="minorHAnsi" w:cstheme="minorHAnsi"/>
              </w:rPr>
              <w:t>Mpps</w:t>
            </w:r>
            <w:proofErr w:type="spellEnd"/>
          </w:p>
          <w:p w14:paraId="44199D8B"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min. 380 000 wpisów w tablicy adresów MAC</w:t>
            </w:r>
          </w:p>
          <w:p w14:paraId="25BDA7E7"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min. 120 000 wpisów w tablicy ARP</w:t>
            </w:r>
          </w:p>
          <w:p w14:paraId="77DF0A8D"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min. 190 000 wpisów w tablicy </w:t>
            </w:r>
            <w:proofErr w:type="spellStart"/>
            <w:r w:rsidRPr="00BA4867">
              <w:rPr>
                <w:rFonts w:asciiTheme="minorHAnsi" w:eastAsiaTheme="minorEastAsia" w:hAnsiTheme="minorHAnsi" w:cstheme="minorHAnsi"/>
              </w:rPr>
              <w:t>routingowej</w:t>
            </w:r>
            <w:proofErr w:type="spellEnd"/>
            <w:r w:rsidRPr="00BA4867">
              <w:rPr>
                <w:rFonts w:asciiTheme="minorHAnsi" w:eastAsiaTheme="minorEastAsia" w:hAnsiTheme="minorHAnsi" w:cstheme="minorHAnsi"/>
              </w:rPr>
              <w:t xml:space="preserve"> IPv4</w:t>
            </w:r>
          </w:p>
          <w:p w14:paraId="42A4C7EC"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min. 80 000 wpisów w tablicy </w:t>
            </w:r>
            <w:proofErr w:type="spellStart"/>
            <w:r w:rsidRPr="00BA4867">
              <w:rPr>
                <w:rFonts w:asciiTheme="minorHAnsi" w:eastAsiaTheme="minorEastAsia" w:hAnsiTheme="minorHAnsi" w:cstheme="minorHAnsi"/>
              </w:rPr>
              <w:t>routingowej</w:t>
            </w:r>
            <w:proofErr w:type="spellEnd"/>
            <w:r w:rsidRPr="00BA4867">
              <w:rPr>
                <w:rFonts w:asciiTheme="minorHAnsi" w:eastAsiaTheme="minorEastAsia" w:hAnsiTheme="minorHAnsi" w:cstheme="minorHAnsi"/>
              </w:rPr>
              <w:t xml:space="preserve"> IPv6</w:t>
            </w:r>
          </w:p>
          <w:p w14:paraId="46967696"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lastRenderedPageBreak/>
              <w:t xml:space="preserve">min. 20 000 tras </w:t>
            </w:r>
            <w:proofErr w:type="spellStart"/>
            <w:r w:rsidRPr="00BA4867">
              <w:rPr>
                <w:rFonts w:asciiTheme="minorHAnsi" w:eastAsiaTheme="minorEastAsia" w:hAnsiTheme="minorHAnsi" w:cstheme="minorHAnsi"/>
              </w:rPr>
              <w:t>multicast</w:t>
            </w:r>
            <w:proofErr w:type="spellEnd"/>
          </w:p>
          <w:p w14:paraId="155027C5"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min. 1 000 interfejsów VLAN.</w:t>
            </w:r>
          </w:p>
          <w:p w14:paraId="3F126AC9"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min. 6 000 wpisów na potrzeby realizacji polityk bezpieczeństwa (listy kontroli dostępu ACL)</w:t>
            </w:r>
          </w:p>
          <w:p w14:paraId="40978007"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Obsługa protokołów warstwy 3 dla IPv4: Open </w:t>
            </w:r>
            <w:proofErr w:type="spellStart"/>
            <w:r w:rsidRPr="00BA4867">
              <w:rPr>
                <w:rFonts w:asciiTheme="minorHAnsi" w:eastAsiaTheme="minorEastAsia" w:hAnsiTheme="minorHAnsi" w:cstheme="minorHAnsi"/>
              </w:rPr>
              <w:t>Shortest</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Path</w:t>
            </w:r>
            <w:proofErr w:type="spellEnd"/>
            <w:r w:rsidRPr="00BA4867">
              <w:rPr>
                <w:rFonts w:asciiTheme="minorHAnsi" w:eastAsiaTheme="minorEastAsia" w:hAnsiTheme="minorHAnsi" w:cstheme="minorHAnsi"/>
              </w:rPr>
              <w:t xml:space="preserve"> First (OSPF), BGPv4</w:t>
            </w:r>
          </w:p>
          <w:p w14:paraId="0F1772AC"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Obsługa protokołów warstwy 3 dla IPv6: Open </w:t>
            </w:r>
            <w:proofErr w:type="spellStart"/>
            <w:r w:rsidRPr="00BA4867">
              <w:rPr>
                <w:rFonts w:asciiTheme="minorHAnsi" w:eastAsiaTheme="minorEastAsia" w:hAnsiTheme="minorHAnsi" w:cstheme="minorHAnsi"/>
              </w:rPr>
              <w:t>Shortest</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Path</w:t>
            </w:r>
            <w:proofErr w:type="spellEnd"/>
            <w:r w:rsidRPr="00BA4867">
              <w:rPr>
                <w:rFonts w:asciiTheme="minorHAnsi" w:eastAsiaTheme="minorEastAsia" w:hAnsiTheme="minorHAnsi" w:cstheme="minorHAnsi"/>
              </w:rPr>
              <w:t xml:space="preserve"> First (OSPFv3), MP-BGP</w:t>
            </w:r>
          </w:p>
          <w:p w14:paraId="1196FA11"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Obsługuje protokoły </w:t>
            </w:r>
            <w:proofErr w:type="spellStart"/>
            <w:r w:rsidRPr="00BA4867">
              <w:rPr>
                <w:rFonts w:asciiTheme="minorHAnsi" w:eastAsiaTheme="minorEastAsia" w:hAnsiTheme="minorHAnsi" w:cstheme="minorHAnsi"/>
              </w:rPr>
              <w:t>multicastowe</w:t>
            </w:r>
            <w:proofErr w:type="spellEnd"/>
            <w:r w:rsidRPr="00BA4867">
              <w:rPr>
                <w:rFonts w:asciiTheme="minorHAnsi" w:eastAsiaTheme="minorEastAsia" w:hAnsiTheme="minorHAnsi" w:cstheme="minorHAnsi"/>
              </w:rPr>
              <w:t xml:space="preserve"> w tym PIM </w:t>
            </w:r>
            <w:proofErr w:type="spellStart"/>
            <w:r w:rsidRPr="00BA4867">
              <w:rPr>
                <w:rFonts w:asciiTheme="minorHAnsi" w:eastAsiaTheme="minorEastAsia" w:hAnsiTheme="minorHAnsi" w:cstheme="minorHAnsi"/>
              </w:rPr>
              <w:t>Sparse</w:t>
            </w:r>
            <w:proofErr w:type="spellEnd"/>
            <w:r w:rsidRPr="00BA4867">
              <w:rPr>
                <w:rFonts w:asciiTheme="minorHAnsi" w:eastAsiaTheme="minorEastAsia" w:hAnsiTheme="minorHAnsi" w:cstheme="minorHAnsi"/>
              </w:rPr>
              <w:t xml:space="preserve"> i </w:t>
            </w:r>
            <w:proofErr w:type="spellStart"/>
            <w:r w:rsidRPr="00BA4867">
              <w:rPr>
                <w:rFonts w:asciiTheme="minorHAnsi" w:eastAsiaTheme="minorEastAsia" w:hAnsiTheme="minorHAnsi" w:cstheme="minorHAnsi"/>
              </w:rPr>
              <w:t>Dense</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Mode</w:t>
            </w:r>
            <w:proofErr w:type="spellEnd"/>
            <w:r w:rsidRPr="00BA4867">
              <w:rPr>
                <w:rFonts w:asciiTheme="minorHAnsi" w:eastAsiaTheme="minorEastAsia" w:hAnsiTheme="minorHAnsi" w:cstheme="minorHAnsi"/>
              </w:rPr>
              <w:t>, SSM, IGMP/MLD</w:t>
            </w:r>
          </w:p>
          <w:p w14:paraId="68041FE3"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obsługiwać protokoły  MPLS, LDP, L2 i L3 VPN, VPLS, MPLS TE</w:t>
            </w:r>
          </w:p>
          <w:p w14:paraId="01482CC6"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Urządzenie musi umożliwiać rozbudowę o funkcje </w:t>
            </w:r>
            <w:proofErr w:type="spellStart"/>
            <w:r w:rsidRPr="00BA4867">
              <w:rPr>
                <w:rFonts w:asciiTheme="minorHAnsi" w:eastAsiaTheme="minorEastAsia" w:hAnsiTheme="minorHAnsi" w:cstheme="minorHAnsi"/>
              </w:rPr>
              <w:t>VxLAN</w:t>
            </w:r>
            <w:proofErr w:type="spellEnd"/>
            <w:r w:rsidRPr="00BA4867">
              <w:rPr>
                <w:rFonts w:asciiTheme="minorHAnsi" w:eastAsiaTheme="minorEastAsia" w:hAnsiTheme="minorHAnsi" w:cstheme="minorHAnsi"/>
              </w:rPr>
              <w:t>.</w:t>
            </w:r>
          </w:p>
          <w:p w14:paraId="48EA4B38"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wspiera następujące mechanizmy związane z zapewnieniem ciągłości pracy sieci:</w:t>
            </w:r>
          </w:p>
          <w:p w14:paraId="5F549263"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lang w:val="en-GB"/>
              </w:rPr>
            </w:pPr>
            <w:proofErr w:type="spellStart"/>
            <w:r w:rsidRPr="00BA4867">
              <w:rPr>
                <w:rFonts w:asciiTheme="minorHAnsi" w:eastAsiaTheme="minorEastAsia" w:hAnsiTheme="minorHAnsi" w:cstheme="minorHAnsi"/>
                <w:lang w:val="en-GB"/>
              </w:rPr>
              <w:t>mechanizm</w:t>
            </w:r>
            <w:proofErr w:type="spellEnd"/>
            <w:r w:rsidRPr="00BA4867">
              <w:rPr>
                <w:rFonts w:asciiTheme="minorHAnsi" w:eastAsiaTheme="minorEastAsia" w:hAnsiTheme="minorHAnsi" w:cstheme="minorHAnsi"/>
                <w:lang w:val="en-GB"/>
              </w:rPr>
              <w:t xml:space="preserve"> BFD (Bidirectional Forwarding Detection) co </w:t>
            </w:r>
            <w:proofErr w:type="spellStart"/>
            <w:r w:rsidRPr="00BA4867">
              <w:rPr>
                <w:rFonts w:asciiTheme="minorHAnsi" w:eastAsiaTheme="minorEastAsia" w:hAnsiTheme="minorHAnsi" w:cstheme="minorHAnsi"/>
                <w:lang w:val="en-GB"/>
              </w:rPr>
              <w:t>najmniej</w:t>
            </w:r>
            <w:proofErr w:type="spellEnd"/>
            <w:r w:rsidRPr="00BA4867">
              <w:rPr>
                <w:rFonts w:asciiTheme="minorHAnsi" w:eastAsiaTheme="minorEastAsia" w:hAnsiTheme="minorHAnsi" w:cstheme="minorHAnsi"/>
                <w:lang w:val="en-GB"/>
              </w:rPr>
              <w:t xml:space="preserve"> dla </w:t>
            </w:r>
            <w:proofErr w:type="spellStart"/>
            <w:r w:rsidRPr="00BA4867">
              <w:rPr>
                <w:rFonts w:asciiTheme="minorHAnsi" w:eastAsiaTheme="minorEastAsia" w:hAnsiTheme="minorHAnsi" w:cstheme="minorHAnsi"/>
                <w:lang w:val="en-GB"/>
              </w:rPr>
              <w:t>protokołu</w:t>
            </w:r>
            <w:proofErr w:type="spellEnd"/>
            <w:r w:rsidRPr="00BA4867">
              <w:rPr>
                <w:rFonts w:asciiTheme="minorHAnsi" w:eastAsiaTheme="minorEastAsia" w:hAnsiTheme="minorHAnsi" w:cstheme="minorHAnsi"/>
                <w:lang w:val="en-GB"/>
              </w:rPr>
              <w:t xml:space="preserve"> OSPFv2 i OSPFv3</w:t>
            </w:r>
          </w:p>
          <w:p w14:paraId="4A80CC9C"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IEEE 802.1w </w:t>
            </w:r>
            <w:proofErr w:type="spellStart"/>
            <w:r w:rsidRPr="00BA4867">
              <w:rPr>
                <w:rFonts w:asciiTheme="minorHAnsi" w:eastAsiaTheme="minorEastAsia" w:hAnsiTheme="minorHAnsi" w:cstheme="minorHAnsi"/>
              </w:rPr>
              <w:t>Rapid</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Spanning</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Tree</w:t>
            </w:r>
            <w:proofErr w:type="spellEnd"/>
          </w:p>
          <w:p w14:paraId="4A36650C"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IEEE 802.1s </w:t>
            </w:r>
            <w:proofErr w:type="spellStart"/>
            <w:r w:rsidRPr="00BA4867">
              <w:rPr>
                <w:rFonts w:asciiTheme="minorHAnsi" w:eastAsiaTheme="minorEastAsia" w:hAnsiTheme="minorHAnsi" w:cstheme="minorHAnsi"/>
              </w:rPr>
              <w:t>Multiple</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Spanning</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Tree</w:t>
            </w:r>
            <w:proofErr w:type="spellEnd"/>
          </w:p>
          <w:p w14:paraId="23CF582D"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IEEE 802.3ad (Link </w:t>
            </w:r>
            <w:proofErr w:type="spellStart"/>
            <w:r w:rsidRPr="00BA4867">
              <w:rPr>
                <w:rFonts w:asciiTheme="minorHAnsi" w:eastAsiaTheme="minorEastAsia" w:hAnsiTheme="minorHAnsi" w:cstheme="minorHAnsi"/>
              </w:rPr>
              <w:t>Aggregation</w:t>
            </w:r>
            <w:proofErr w:type="spellEnd"/>
            <w:r w:rsidRPr="00BA4867">
              <w:rPr>
                <w:rFonts w:asciiTheme="minorHAnsi" w:eastAsiaTheme="minorEastAsia" w:hAnsiTheme="minorHAnsi" w:cstheme="minorHAnsi"/>
              </w:rPr>
              <w:t xml:space="preserve"> Control </w:t>
            </w:r>
            <w:proofErr w:type="spellStart"/>
            <w:r w:rsidRPr="00BA4867">
              <w:rPr>
                <w:rFonts w:asciiTheme="minorHAnsi" w:eastAsiaTheme="minorEastAsia" w:hAnsiTheme="minorHAnsi" w:cstheme="minorHAnsi"/>
              </w:rPr>
              <w:t>Protocol</w:t>
            </w:r>
            <w:proofErr w:type="spellEnd"/>
            <w:r w:rsidRPr="00BA4867">
              <w:rPr>
                <w:rFonts w:asciiTheme="minorHAnsi" w:eastAsiaTheme="minorEastAsia" w:hAnsiTheme="minorHAnsi" w:cstheme="minorHAnsi"/>
              </w:rPr>
              <w:t>) umożliwiający grupowanie portów, w tym w przypadku przełącznika modularnego z wykorzystaniem portów znajdujących się na różnych kartach liniowych</w:t>
            </w:r>
          </w:p>
          <w:p w14:paraId="64766F84"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wspiera następujące mechanizmy związane z zapewnieniem jakości usług w sieci (</w:t>
            </w:r>
            <w:proofErr w:type="spellStart"/>
            <w:r w:rsidRPr="00BA4867">
              <w:rPr>
                <w:rFonts w:asciiTheme="minorHAnsi" w:eastAsiaTheme="minorEastAsia" w:hAnsiTheme="minorHAnsi" w:cstheme="minorHAnsi"/>
              </w:rPr>
              <w:t>QoS</w:t>
            </w:r>
            <w:proofErr w:type="spellEnd"/>
            <w:r w:rsidRPr="00BA4867">
              <w:rPr>
                <w:rFonts w:asciiTheme="minorHAnsi" w:eastAsiaTheme="minorEastAsia" w:hAnsiTheme="minorHAnsi" w:cstheme="minorHAnsi"/>
              </w:rPr>
              <w:t>):</w:t>
            </w:r>
          </w:p>
          <w:p w14:paraId="2EA10B7F"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Obsługa min. 8 kolejek per port, w tym co najmniej jedna kolejka ze statusem </w:t>
            </w:r>
            <w:proofErr w:type="spellStart"/>
            <w:r w:rsidRPr="00BA4867">
              <w:rPr>
                <w:rFonts w:asciiTheme="minorHAnsi" w:eastAsiaTheme="minorEastAsia" w:hAnsiTheme="minorHAnsi" w:cstheme="minorHAnsi"/>
              </w:rPr>
              <w:t>strict</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priority</w:t>
            </w:r>
            <w:proofErr w:type="spellEnd"/>
          </w:p>
          <w:p w14:paraId="7342DA3B"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Klasyfikacja ruchu do klas różnej jakości obsługi (</w:t>
            </w:r>
            <w:proofErr w:type="spellStart"/>
            <w:r w:rsidRPr="00BA4867">
              <w:rPr>
                <w:rFonts w:asciiTheme="minorHAnsi" w:eastAsiaTheme="minorEastAsia" w:hAnsiTheme="minorHAnsi" w:cstheme="minorHAnsi"/>
              </w:rPr>
              <w:t>QoS</w:t>
            </w:r>
            <w:proofErr w:type="spellEnd"/>
            <w:r w:rsidRPr="00BA4867">
              <w:rPr>
                <w:rFonts w:asciiTheme="minorHAnsi" w:eastAsiaTheme="minorEastAsia" w:hAnsiTheme="minorHAnsi" w:cstheme="minorHAnsi"/>
              </w:rPr>
              <w:t>) poprzez nadawanie wartości 802.1p (</w:t>
            </w:r>
            <w:proofErr w:type="spellStart"/>
            <w:r w:rsidRPr="00BA4867">
              <w:rPr>
                <w:rFonts w:asciiTheme="minorHAnsi" w:eastAsiaTheme="minorEastAsia" w:hAnsiTheme="minorHAnsi" w:cstheme="minorHAnsi"/>
              </w:rPr>
              <w:t>CoS</w:t>
            </w:r>
            <w:proofErr w:type="spellEnd"/>
            <w:r w:rsidRPr="00BA4867">
              <w:rPr>
                <w:rFonts w:asciiTheme="minorHAnsi" w:eastAsiaTheme="minorEastAsia" w:hAnsiTheme="minorHAnsi" w:cstheme="minorHAnsi"/>
              </w:rPr>
              <w:t xml:space="preserve">) oraz IP </w:t>
            </w:r>
            <w:proofErr w:type="spellStart"/>
            <w:r w:rsidRPr="00BA4867">
              <w:rPr>
                <w:rFonts w:asciiTheme="minorHAnsi" w:eastAsiaTheme="minorEastAsia" w:hAnsiTheme="minorHAnsi" w:cstheme="minorHAnsi"/>
              </w:rPr>
              <w:t>Precedence</w:t>
            </w:r>
            <w:proofErr w:type="spellEnd"/>
            <w:r w:rsidRPr="00BA4867">
              <w:rPr>
                <w:rFonts w:asciiTheme="minorHAnsi" w:eastAsiaTheme="minorEastAsia" w:hAnsiTheme="minorHAnsi" w:cstheme="minorHAnsi"/>
              </w:rPr>
              <w:t xml:space="preserve">/DSCP w ramkach Ethernet oraz pakietach IP. Wykorzystanie następujących parametrów w klasyfikacji: źródłowy/docelowy adres MAC, źródłowy/docelowy adres IP, </w:t>
            </w:r>
            <w:proofErr w:type="spellStart"/>
            <w:r w:rsidRPr="00BA4867">
              <w:rPr>
                <w:rFonts w:asciiTheme="minorHAnsi" w:eastAsiaTheme="minorEastAsia" w:hAnsiTheme="minorHAnsi" w:cstheme="minorHAnsi"/>
              </w:rPr>
              <w:t>żródłowy</w:t>
            </w:r>
            <w:proofErr w:type="spellEnd"/>
            <w:r w:rsidRPr="00BA4867">
              <w:rPr>
                <w:rFonts w:asciiTheme="minorHAnsi" w:eastAsiaTheme="minorEastAsia" w:hAnsiTheme="minorHAnsi" w:cstheme="minorHAnsi"/>
              </w:rPr>
              <w:t>/docelowy port TCP</w:t>
            </w:r>
          </w:p>
          <w:p w14:paraId="66BAF421"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Możliwość zmiany przez urządzenie kodu wartości </w:t>
            </w:r>
            <w:proofErr w:type="spellStart"/>
            <w:r w:rsidRPr="00BA4867">
              <w:rPr>
                <w:rFonts w:asciiTheme="minorHAnsi" w:eastAsiaTheme="minorEastAsia" w:hAnsiTheme="minorHAnsi" w:cstheme="minorHAnsi"/>
              </w:rPr>
              <w:t>QoS</w:t>
            </w:r>
            <w:proofErr w:type="spellEnd"/>
            <w:r w:rsidRPr="00BA4867">
              <w:rPr>
                <w:rFonts w:asciiTheme="minorHAnsi" w:eastAsiaTheme="minorEastAsia" w:hAnsiTheme="minorHAnsi" w:cstheme="minorHAnsi"/>
              </w:rPr>
              <w:t xml:space="preserve"> zawartego w ramce Ethernet oraz pakiecie IP – poprzez zmianę pola 802.1p (</w:t>
            </w:r>
            <w:proofErr w:type="spellStart"/>
            <w:r w:rsidRPr="00BA4867">
              <w:rPr>
                <w:rFonts w:asciiTheme="minorHAnsi" w:eastAsiaTheme="minorEastAsia" w:hAnsiTheme="minorHAnsi" w:cstheme="minorHAnsi"/>
              </w:rPr>
              <w:t>CoS</w:t>
            </w:r>
            <w:proofErr w:type="spellEnd"/>
            <w:r w:rsidRPr="00BA4867">
              <w:rPr>
                <w:rFonts w:asciiTheme="minorHAnsi" w:eastAsiaTheme="minorEastAsia" w:hAnsiTheme="minorHAnsi" w:cstheme="minorHAnsi"/>
              </w:rPr>
              <w:t xml:space="preserve">) oraz IP </w:t>
            </w:r>
            <w:proofErr w:type="spellStart"/>
            <w:r w:rsidRPr="00BA4867">
              <w:rPr>
                <w:rFonts w:asciiTheme="minorHAnsi" w:eastAsiaTheme="minorEastAsia" w:hAnsiTheme="minorHAnsi" w:cstheme="minorHAnsi"/>
              </w:rPr>
              <w:t>Precedence</w:t>
            </w:r>
            <w:proofErr w:type="spellEnd"/>
            <w:r w:rsidRPr="00BA4867">
              <w:rPr>
                <w:rFonts w:asciiTheme="minorHAnsi" w:eastAsiaTheme="minorEastAsia" w:hAnsiTheme="minorHAnsi" w:cstheme="minorHAnsi"/>
              </w:rPr>
              <w:t>/DSCP</w:t>
            </w:r>
          </w:p>
          <w:p w14:paraId="2D348901"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Definiowanie polityk </w:t>
            </w:r>
            <w:proofErr w:type="spellStart"/>
            <w:r w:rsidRPr="00BA4867">
              <w:rPr>
                <w:rFonts w:asciiTheme="minorHAnsi" w:eastAsiaTheme="minorEastAsia" w:hAnsiTheme="minorHAnsi" w:cstheme="minorHAnsi"/>
              </w:rPr>
              <w:t>QoS</w:t>
            </w:r>
            <w:proofErr w:type="spellEnd"/>
            <w:r w:rsidRPr="00BA4867">
              <w:rPr>
                <w:rFonts w:asciiTheme="minorHAnsi" w:eastAsiaTheme="minorEastAsia" w:hAnsiTheme="minorHAnsi" w:cstheme="minorHAnsi"/>
              </w:rPr>
              <w:t xml:space="preserve"> per port i per VLAN</w:t>
            </w:r>
          </w:p>
          <w:p w14:paraId="5378BE3C"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wspiera następujące mechanizmy związane z bezpieczeństwem:</w:t>
            </w:r>
          </w:p>
          <w:p w14:paraId="5A26D997"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Wiele poziomów dostępu administracyjnego poprzez konsolę - autoryzacja dostępu do przełącznika w oparciu o mechanizmy AAA – min. 5 poziomów uprawnień z możliwością określenia zakresu z dokładnością do poszczególnych komend</w:t>
            </w:r>
          </w:p>
          <w:p w14:paraId="1F764EDF"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Autoryzacja użytkowników/portów w oparciu o IEEE 802.1X z możliwością przydziału listy kontroli dostępu (ACL) i </w:t>
            </w:r>
            <w:proofErr w:type="spellStart"/>
            <w:r w:rsidRPr="00BA4867">
              <w:rPr>
                <w:rFonts w:asciiTheme="minorHAnsi" w:eastAsiaTheme="minorEastAsia" w:hAnsiTheme="minorHAnsi" w:cstheme="minorHAnsi"/>
              </w:rPr>
              <w:t>VLANu</w:t>
            </w:r>
            <w:proofErr w:type="spellEnd"/>
          </w:p>
          <w:p w14:paraId="18BC92C3"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Obsługa co najmniej następujących mechanizmów Port Security, DHCP </w:t>
            </w:r>
            <w:proofErr w:type="spellStart"/>
            <w:r w:rsidRPr="00BA4867">
              <w:rPr>
                <w:rFonts w:asciiTheme="minorHAnsi" w:eastAsiaTheme="minorEastAsia" w:hAnsiTheme="minorHAnsi" w:cstheme="minorHAnsi"/>
              </w:rPr>
              <w:t>Snooping</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Dynamic</w:t>
            </w:r>
            <w:proofErr w:type="spellEnd"/>
            <w:r w:rsidRPr="00BA4867">
              <w:rPr>
                <w:rFonts w:asciiTheme="minorHAnsi" w:eastAsiaTheme="minorEastAsia" w:hAnsiTheme="minorHAnsi" w:cstheme="minorHAnsi"/>
              </w:rPr>
              <w:t xml:space="preserve"> ARP </w:t>
            </w:r>
            <w:proofErr w:type="spellStart"/>
            <w:r w:rsidRPr="00BA4867">
              <w:rPr>
                <w:rFonts w:asciiTheme="minorHAnsi" w:eastAsiaTheme="minorEastAsia" w:hAnsiTheme="minorHAnsi" w:cstheme="minorHAnsi"/>
              </w:rPr>
              <w:t>Inspection</w:t>
            </w:r>
            <w:proofErr w:type="spellEnd"/>
            <w:r w:rsidRPr="00BA4867">
              <w:rPr>
                <w:rFonts w:asciiTheme="minorHAnsi" w:eastAsiaTheme="minorEastAsia" w:hAnsiTheme="minorHAnsi" w:cstheme="minorHAnsi"/>
              </w:rPr>
              <w:t xml:space="preserve">, IP Source </w:t>
            </w:r>
            <w:proofErr w:type="spellStart"/>
            <w:r w:rsidRPr="00BA4867">
              <w:rPr>
                <w:rFonts w:asciiTheme="minorHAnsi" w:eastAsiaTheme="minorEastAsia" w:hAnsiTheme="minorHAnsi" w:cstheme="minorHAnsi"/>
              </w:rPr>
              <w:t>Guard</w:t>
            </w:r>
            <w:proofErr w:type="spellEnd"/>
          </w:p>
          <w:p w14:paraId="1556FCD6"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Weryfikacja źródła pakietu względem tablicy routingu (</w:t>
            </w:r>
            <w:proofErr w:type="spellStart"/>
            <w:r w:rsidRPr="00BA4867">
              <w:rPr>
                <w:rFonts w:asciiTheme="minorHAnsi" w:eastAsiaTheme="minorEastAsia" w:hAnsiTheme="minorHAnsi" w:cstheme="minorHAnsi"/>
              </w:rPr>
              <w:t>uRPF</w:t>
            </w:r>
            <w:proofErr w:type="spellEnd"/>
            <w:r w:rsidRPr="00BA4867">
              <w:rPr>
                <w:rFonts w:asciiTheme="minorHAnsi" w:eastAsiaTheme="minorEastAsia" w:hAnsiTheme="minorHAnsi" w:cstheme="minorHAnsi"/>
              </w:rPr>
              <w:t>) – zarówno dla IPv4 i IPv6</w:t>
            </w:r>
          </w:p>
          <w:p w14:paraId="452E67D9"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Możliwość filtrowania ruchu na poziomie portu oraz </w:t>
            </w:r>
            <w:proofErr w:type="spellStart"/>
            <w:r w:rsidRPr="00BA4867">
              <w:rPr>
                <w:rFonts w:asciiTheme="minorHAnsi" w:eastAsiaTheme="minorEastAsia" w:hAnsiTheme="minorHAnsi" w:cstheme="minorHAnsi"/>
              </w:rPr>
              <w:t>VLANu</w:t>
            </w:r>
            <w:proofErr w:type="spellEnd"/>
            <w:r w:rsidRPr="00BA4867">
              <w:rPr>
                <w:rFonts w:asciiTheme="minorHAnsi" w:eastAsiaTheme="minorEastAsia" w:hAnsiTheme="minorHAnsi" w:cstheme="minorHAnsi"/>
              </w:rPr>
              <w:t xml:space="preserve"> w oparciu o adresy MAC, IP, porty TCP/UDP</w:t>
            </w:r>
          </w:p>
          <w:p w14:paraId="2052BBF6"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lastRenderedPageBreak/>
              <w:t>Listy kontroli dostępu także dla IPv6</w:t>
            </w:r>
          </w:p>
          <w:p w14:paraId="210194D3"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Mechanizmy ochrony warstwy kontrolnej</w:t>
            </w:r>
          </w:p>
          <w:p w14:paraId="54B72EEE"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Obsługuje ramki Ethernet o wielkości nie mniejszej niż 9200 bajtów (tzw. Jumbo </w:t>
            </w:r>
            <w:proofErr w:type="spellStart"/>
            <w:r w:rsidRPr="00BA4867">
              <w:rPr>
                <w:rFonts w:asciiTheme="minorHAnsi" w:eastAsiaTheme="minorEastAsia" w:hAnsiTheme="minorHAnsi" w:cstheme="minorHAnsi"/>
              </w:rPr>
              <w:t>Frame</w:t>
            </w:r>
            <w:proofErr w:type="spellEnd"/>
            <w:r w:rsidRPr="00BA4867">
              <w:rPr>
                <w:rFonts w:asciiTheme="minorHAnsi" w:eastAsiaTheme="minorEastAsia" w:hAnsiTheme="minorHAnsi" w:cstheme="minorHAnsi"/>
              </w:rPr>
              <w:t>)</w:t>
            </w:r>
          </w:p>
          <w:p w14:paraId="129036DB" w14:textId="77777777" w:rsidR="00BA4867" w:rsidRPr="00BA4867" w:rsidRDefault="00BA4867" w:rsidP="00BA4867">
            <w:pPr>
              <w:numPr>
                <w:ilvl w:val="1"/>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Przystosowane do montażu w szafie 19”, wysokość nie większa niż 1RU, elementy niezbędne do montażu muszą być dostarczone z urządzeniem</w:t>
            </w:r>
          </w:p>
          <w:p w14:paraId="41953398" w14:textId="77777777" w:rsidR="00BA4867" w:rsidRPr="00BA4867" w:rsidRDefault="00BA4867" w:rsidP="00BA4867">
            <w:pPr>
              <w:numPr>
                <w:ilvl w:val="2"/>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wspierać następujące mechanizmy związane z zarządzaniem:</w:t>
            </w:r>
          </w:p>
          <w:p w14:paraId="13E9255D"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Ma możliwość zarządzania przez WEB Gui (HTTPS), SNMPv3 oraz SSH v2</w:t>
            </w:r>
          </w:p>
          <w:p w14:paraId="724B1DC6"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Umożliwia zarządzanie poprzez interfejs CLI (konsolę) oraz poprzez dedykowany port Ethernet out-of-band management</w:t>
            </w:r>
          </w:p>
          <w:p w14:paraId="46C22F96"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Umożliwia identyfikację i uwierzytelnianie w oparciu o serwer RADIUS lub TACACS+</w:t>
            </w:r>
          </w:p>
          <w:p w14:paraId="22A874AC"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Posiada port USB z obsługą pamięci masowych typu Pendrive.</w:t>
            </w:r>
          </w:p>
          <w:p w14:paraId="3390A288"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Umożliwia lokalną/zdalną obserwację ruchu na określonym porcie (SPAN,RSPAN), polegającą na kopiowaniu pojawiających się na nim ramek i przesyłaniu ich do urządzenia monitorującego przyłączonego do innego portu lub poprzez dedykowaną sieć VLAN</w:t>
            </w:r>
          </w:p>
          <w:p w14:paraId="4EB81026"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Posiada możliwość raportowania do systemów zarządzających z wykorzystaniem statystyk typu </w:t>
            </w:r>
            <w:proofErr w:type="spellStart"/>
            <w:r w:rsidRPr="00BA4867">
              <w:rPr>
                <w:rFonts w:asciiTheme="minorHAnsi" w:eastAsiaTheme="minorEastAsia" w:hAnsiTheme="minorHAnsi" w:cstheme="minorHAnsi"/>
              </w:rPr>
              <w:t>flow</w:t>
            </w:r>
            <w:proofErr w:type="spellEnd"/>
            <w:r w:rsidRPr="00BA4867">
              <w:rPr>
                <w:rFonts w:asciiTheme="minorHAnsi" w:eastAsiaTheme="minorEastAsia" w:hAnsiTheme="minorHAnsi" w:cstheme="minorHAnsi"/>
              </w:rPr>
              <w:t xml:space="preserve"> (J-</w:t>
            </w:r>
            <w:proofErr w:type="spellStart"/>
            <w:r w:rsidRPr="00BA4867">
              <w:rPr>
                <w:rFonts w:asciiTheme="minorHAnsi" w:eastAsiaTheme="minorEastAsia" w:hAnsiTheme="minorHAnsi" w:cstheme="minorHAnsi"/>
              </w:rPr>
              <w:t>Flow</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NetFlow</w:t>
            </w:r>
            <w:proofErr w:type="spellEnd"/>
            <w:r w:rsidRPr="00BA4867">
              <w:rPr>
                <w:rFonts w:asciiTheme="minorHAnsi" w:eastAsiaTheme="minorEastAsia" w:hAnsiTheme="minorHAnsi" w:cstheme="minorHAnsi"/>
              </w:rPr>
              <w:t xml:space="preserve">, </w:t>
            </w:r>
            <w:proofErr w:type="spellStart"/>
            <w:r w:rsidRPr="00BA4867">
              <w:rPr>
                <w:rFonts w:asciiTheme="minorHAnsi" w:eastAsiaTheme="minorEastAsia" w:hAnsiTheme="minorHAnsi" w:cstheme="minorHAnsi"/>
              </w:rPr>
              <w:t>sFlow</w:t>
            </w:r>
            <w:proofErr w:type="spellEnd"/>
            <w:r w:rsidRPr="00BA4867">
              <w:rPr>
                <w:rFonts w:asciiTheme="minorHAnsi" w:eastAsiaTheme="minorEastAsia" w:hAnsiTheme="minorHAnsi" w:cstheme="minorHAnsi"/>
              </w:rPr>
              <w:t xml:space="preserve"> lub odpowiednik). </w:t>
            </w:r>
          </w:p>
          <w:p w14:paraId="06506C5B"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Urządzenie musi posiadać możliwość pobrania konfiguracji do zewnętrznego komputera typu PC, w formie tekstowej. Konfiguracja po dokonaniu edycji poza urządzeniem może być ponownie zaimportowana do urządzenia i uruchomiona. W pamięci nieulotnej musi być możliwość przechowywania przynajmniej 10 plików konfiguracyjnych</w:t>
            </w:r>
          </w:p>
          <w:tbl>
            <w:tblPr>
              <w:tblW w:w="9351" w:type="dxa"/>
              <w:tblLook w:val="04A0" w:firstRow="1" w:lastRow="0" w:firstColumn="1" w:lastColumn="0" w:noHBand="0" w:noVBand="1"/>
            </w:tblPr>
            <w:tblGrid>
              <w:gridCol w:w="9351"/>
            </w:tblGrid>
            <w:tr w:rsidR="00BA4867" w:rsidRPr="00BA4867" w14:paraId="61D0CB0A" w14:textId="77777777" w:rsidTr="00ED2950">
              <w:tc>
                <w:tcPr>
                  <w:tcW w:w="9351" w:type="dxa"/>
                  <w:hideMark/>
                </w:tcPr>
                <w:p w14:paraId="56599DC6" w14:textId="77777777" w:rsidR="00BA4867" w:rsidRPr="00BA4867" w:rsidRDefault="00BA4867" w:rsidP="00BA4867">
                  <w:pPr>
                    <w:spacing w:after="32" w:line="244" w:lineRule="auto"/>
                    <w:ind w:left="10" w:right="43" w:hanging="10"/>
                    <w:jc w:val="both"/>
                    <w:rPr>
                      <w:rFonts w:asciiTheme="minorHAnsi" w:eastAsiaTheme="minorHAnsi" w:hAnsiTheme="minorHAnsi" w:cstheme="minorHAnsi"/>
                      <w:lang w:eastAsia="en-US"/>
                    </w:rPr>
                  </w:pPr>
                </w:p>
                <w:p w14:paraId="4706900B" w14:textId="77777777" w:rsidR="00BA4867" w:rsidRPr="00BA4867" w:rsidRDefault="00BA4867" w:rsidP="00BA4867">
                  <w:pPr>
                    <w:spacing w:after="32" w:line="244" w:lineRule="auto"/>
                    <w:ind w:left="10" w:right="43" w:hanging="10"/>
                    <w:jc w:val="both"/>
                    <w:rPr>
                      <w:rFonts w:asciiTheme="minorHAnsi" w:hAnsiTheme="minorHAnsi" w:cstheme="minorHAnsi"/>
                      <w:lang w:eastAsia="en-US"/>
                    </w:rPr>
                  </w:pPr>
                </w:p>
              </w:tc>
            </w:tr>
            <w:tr w:rsidR="00BA4867" w:rsidRPr="00BA4867" w14:paraId="6A39C1BD" w14:textId="77777777" w:rsidTr="00ED2950">
              <w:tc>
                <w:tcPr>
                  <w:tcW w:w="9351" w:type="dxa"/>
                </w:tcPr>
                <w:p w14:paraId="220A1EB1"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Calibri" w:hAnsiTheme="minorHAnsi" w:cstheme="minorHAnsi"/>
                      <w:lang w:eastAsia="en-US"/>
                    </w:rPr>
                    <w:t>Wymagany jest serwis gwarancyjny producenta lub autoryzowany serwis realizowany na bazie wykupionej usługi serwisowej producenta świadczony przez minimum 3 lata.</w:t>
                  </w:r>
                </w:p>
                <w:p w14:paraId="794840E4"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Calibri" w:hAnsiTheme="minorHAnsi" w:cstheme="minorHAnsi"/>
                      <w:lang w:eastAsia="en-US"/>
                    </w:rPr>
                    <w:t>Dostępność usługi serwisowej (telefon oraz email) w języku polskim w trybie 8x5xNBD</w:t>
                  </w:r>
                  <w:r w:rsidRPr="00BA4867">
                    <w:rPr>
                      <w:rFonts w:asciiTheme="minorHAnsi" w:eastAsiaTheme="minorEastAsia" w:hAnsiTheme="minorHAnsi" w:cstheme="minorHAnsi"/>
                    </w:rPr>
                    <w:t>.</w:t>
                  </w:r>
                </w:p>
                <w:p w14:paraId="63EE6DCD"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Calibri" w:hAnsiTheme="minorHAnsi" w:cstheme="minorHAnsi"/>
                      <w:lang w:eastAsia="en-US"/>
                    </w:rPr>
                    <w:t>Rozwiązywanie problemów ze sprzętem i oprogramowaniem w okresie trwania serwisu gwarancyjnego.</w:t>
                  </w:r>
                </w:p>
                <w:p w14:paraId="4CF73ECB"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Calibri" w:hAnsiTheme="minorHAnsi" w:cstheme="minorHAnsi"/>
                      <w:lang w:eastAsia="en-US"/>
                    </w:rPr>
                    <w:t>Gwarantowany czas naprawy sprzętu – 48h od momentu zgłoszenia i potwierdzenia wady przez producenta.</w:t>
                  </w:r>
                </w:p>
                <w:p w14:paraId="4430CC1C"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Calibri" w:hAnsiTheme="minorHAnsi" w:cstheme="minorHAnsi"/>
                      <w:lang w:eastAsia="en-US"/>
                    </w:rPr>
                    <w:t>Bezpłatny dostęp do poprawek i nowych wersji oprogramowania w okresie trwania serwisu gwarancyjnego.</w:t>
                  </w:r>
                </w:p>
                <w:p w14:paraId="1F132A43"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bookmarkStart w:id="1" w:name="_Hlk86245994"/>
                  <w:r w:rsidRPr="00BA4867">
                    <w:rPr>
                      <w:rFonts w:asciiTheme="minorHAnsi" w:eastAsiaTheme="minorEastAsia" w:hAnsiTheme="minorHAnsi" w:cstheme="minorHAnsi"/>
                    </w:rPr>
                    <w:t>Sprzęt musi pochodzić z autoryzowanego przez jej producenta kanału dystrybucji w UE i nie może być obciążony uprzednio nabytymi prawami podmiotów trzecich (</w:t>
                  </w:r>
                  <w:proofErr w:type="spellStart"/>
                  <w:r w:rsidRPr="00BA4867">
                    <w:rPr>
                      <w:rFonts w:asciiTheme="minorHAnsi" w:eastAsiaTheme="minorEastAsia" w:hAnsiTheme="minorHAnsi" w:cstheme="minorHAnsi"/>
                    </w:rPr>
                    <w:t>subdystrybucja</w:t>
                  </w:r>
                  <w:proofErr w:type="spellEnd"/>
                  <w:r w:rsidRPr="00BA4867">
                    <w:rPr>
                      <w:rFonts w:asciiTheme="minorHAnsi" w:eastAsiaTheme="minorEastAsia" w:hAnsiTheme="minorHAnsi" w:cstheme="minorHAnsi"/>
                    </w:rPr>
                    <w:t>, niezależni brokerzy) oraz musi być przeznaczony do sprzedaży i serwisu na rynku polskim.</w:t>
                  </w:r>
                </w:p>
                <w:p w14:paraId="3D4908E2"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Producent musi posiadać w ofercie jednorodny system zarządzania pozwalający na konfigurację, zarządzanie i monitoring wszystkimi wyspecyfikowanymi urządzeniami (przewodowymi i </w:t>
                  </w:r>
                  <w:r w:rsidRPr="00BA4867">
                    <w:rPr>
                      <w:rFonts w:asciiTheme="minorHAnsi" w:eastAsiaTheme="minorEastAsia" w:hAnsiTheme="minorHAnsi" w:cstheme="minorHAnsi"/>
                    </w:rPr>
                    <w:lastRenderedPageBreak/>
                    <w:t>bezprzewodowymi). System zarządzania nie jest przedmiotem postępowania, ale musi być dostępny w chwili składania oferty.</w:t>
                  </w:r>
                </w:p>
                <w:p w14:paraId="35E696F3" w14:textId="77777777" w:rsidR="00BA4867" w:rsidRPr="00BA4867" w:rsidRDefault="00BA4867" w:rsidP="00BA4867">
                  <w:pPr>
                    <w:numPr>
                      <w:ilvl w:val="3"/>
                      <w:numId w:val="18"/>
                    </w:numPr>
                    <w:spacing w:after="200" w:line="276" w:lineRule="auto"/>
                    <w:rPr>
                      <w:rFonts w:asciiTheme="minorHAnsi" w:eastAsiaTheme="minorEastAsia" w:hAnsiTheme="minorHAnsi" w:cstheme="minorHAnsi"/>
                    </w:rPr>
                  </w:pPr>
                  <w:r w:rsidRPr="00BA4867">
                    <w:rPr>
                      <w:rFonts w:asciiTheme="minorHAnsi" w:eastAsiaTheme="minorEastAsia" w:hAnsiTheme="minorHAnsi" w:cstheme="minorHAnsi"/>
                    </w:rPr>
                    <w:t xml:space="preserve">Wszystkie urządzenia muszą być fabrycznie nowe. </w:t>
                  </w:r>
                  <w:bookmarkEnd w:id="1"/>
                </w:p>
              </w:tc>
            </w:tr>
            <w:tr w:rsidR="00BA4867" w:rsidRPr="00BA4867" w14:paraId="24800AFA" w14:textId="77777777" w:rsidTr="00ED2950">
              <w:tc>
                <w:tcPr>
                  <w:tcW w:w="9351" w:type="dxa"/>
                </w:tcPr>
                <w:p w14:paraId="44CA6B38" w14:textId="77777777" w:rsidR="00BA4867" w:rsidRPr="00BA4867" w:rsidRDefault="00BA4867" w:rsidP="00BA4867">
                  <w:pPr>
                    <w:spacing w:after="32" w:line="244" w:lineRule="auto"/>
                    <w:ind w:right="43"/>
                    <w:jc w:val="both"/>
                    <w:rPr>
                      <w:rFonts w:asciiTheme="minorHAnsi" w:hAnsiTheme="minorHAnsi" w:cstheme="minorHAnsi"/>
                      <w:lang w:eastAsia="en-US"/>
                    </w:rPr>
                  </w:pPr>
                </w:p>
              </w:tc>
            </w:tr>
          </w:tbl>
          <w:p w14:paraId="5F31E52C" w14:textId="77777777" w:rsidR="00BA4867" w:rsidRPr="00BA4867" w:rsidRDefault="00BA4867" w:rsidP="00BA4867">
            <w:pPr>
              <w:spacing w:after="200" w:line="276" w:lineRule="auto"/>
              <w:rPr>
                <w:rFonts w:asciiTheme="minorHAnsi" w:hAnsiTheme="minorHAnsi" w:cstheme="minorHAnsi"/>
              </w:rPr>
            </w:pPr>
          </w:p>
        </w:tc>
      </w:tr>
    </w:tbl>
    <w:p w14:paraId="43C7643F"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p>
    <w:p w14:paraId="535D9C67"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 xml:space="preserve">Zamawiający modyfikuje treść SWZ w zakresie </w:t>
      </w:r>
      <w:r w:rsidRPr="00BA4867">
        <w:rPr>
          <w:rFonts w:asciiTheme="minorHAnsi" w:eastAsiaTheme="minorHAnsi" w:hAnsiTheme="minorHAnsi" w:cstheme="minorHAnsi"/>
          <w:i/>
          <w:iCs/>
          <w:lang w:eastAsia="en-US"/>
        </w:rPr>
        <w:t xml:space="preserve">Macierz dyskowa – rozbudowa posiadanej infrastruktury </w:t>
      </w:r>
      <w:r w:rsidRPr="00BA4867">
        <w:rPr>
          <w:rFonts w:asciiTheme="minorHAnsi" w:eastAsiaTheme="minorHAnsi" w:hAnsiTheme="minorHAnsi" w:cstheme="minorHAnsi"/>
          <w:lang w:eastAsia="en-US"/>
        </w:rPr>
        <w:t>z zastrzeżeniem, że to na Wykonawcy spoczywa obowiązek ich weryfikacji pod kątem prawidłowego i wydajnego działania oferowanych systemów i ich ewentualnego zwiększenia pod kątem wydajności i zasobów.</w:t>
      </w:r>
    </w:p>
    <w:p w14:paraId="4945FB40" w14:textId="77777777" w:rsidR="00BA4867" w:rsidRPr="00BA4867" w:rsidRDefault="00BA4867" w:rsidP="00BA4867">
      <w:pPr>
        <w:spacing w:after="200" w:line="276" w:lineRule="auto"/>
        <w:rPr>
          <w:rFonts w:asciiTheme="minorHAnsi" w:eastAsiaTheme="minorHAnsi" w:hAnsiTheme="minorHAnsi" w:cstheme="minorHAnsi"/>
          <w:lang w:eastAsia="en-US"/>
        </w:rPr>
      </w:pPr>
      <w:r w:rsidRPr="00BA4867">
        <w:rPr>
          <w:rFonts w:asciiTheme="minorHAnsi" w:eastAsiaTheme="minorHAnsi" w:hAnsiTheme="minorHAnsi" w:cstheme="minorHAnsi"/>
          <w:lang w:eastAsia="en-US"/>
        </w:rPr>
        <w:t>Tabela 4. Macierze dyskowe. Wymagane 2 sztuki – modyfikacja wymagań</w:t>
      </w:r>
      <w:r w:rsidRPr="00BA4867">
        <w:rPr>
          <w:rFonts w:asciiTheme="minorHAnsi" w:eastAsiaTheme="minorHAnsi" w:hAnsiTheme="minorHAnsi" w:cstheme="minorHAnsi"/>
          <w:i/>
          <w:iCs/>
          <w:lang w:eastAsia="en-US"/>
        </w:rPr>
        <w:t xml:space="preserve"> </w:t>
      </w:r>
      <w:r w:rsidRPr="00BA4867">
        <w:rPr>
          <w:rFonts w:asciiTheme="minorHAnsi" w:eastAsiaTheme="minorHAnsi" w:hAnsiTheme="minorHAnsi" w:cstheme="minorHAnsi"/>
          <w:lang w:eastAsia="en-US"/>
        </w:rPr>
        <w:t>Macierz dyskowa – rozbudowa posiadanej infrastruktury</w:t>
      </w:r>
    </w:p>
    <w:tbl>
      <w:tblPr>
        <w:tblStyle w:val="Tabela-Siatka1"/>
        <w:tblW w:w="9639" w:type="dxa"/>
        <w:tblInd w:w="-5" w:type="dxa"/>
        <w:tblLook w:val="04A0" w:firstRow="1" w:lastRow="0" w:firstColumn="1" w:lastColumn="0" w:noHBand="0" w:noVBand="1"/>
      </w:tblPr>
      <w:tblGrid>
        <w:gridCol w:w="9639"/>
      </w:tblGrid>
      <w:tr w:rsidR="00BA4867" w:rsidRPr="00BA4867" w14:paraId="4ECED657" w14:textId="77777777" w:rsidTr="00ED2950">
        <w:tc>
          <w:tcPr>
            <w:tcW w:w="9639" w:type="dxa"/>
          </w:tcPr>
          <w:p w14:paraId="1CC4AC4E"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Urządzenie musi być przeznaczone do instalacji w szafie technicznej typu RACK 19”, dostarczone ze wszystkimi niezbędnymi komponentami do montażu.</w:t>
            </w:r>
            <w:r w:rsidRPr="00BA4867">
              <w:rPr>
                <w:rFonts w:asciiTheme="minorHAnsi" w:hAnsiTheme="minorHAnsi" w:cstheme="minorHAnsi"/>
              </w:rPr>
              <w:br/>
            </w:r>
          </w:p>
          <w:p w14:paraId="4012EEF3"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Minimum dwa kontrolery pracujące w trybie </w:t>
            </w:r>
            <w:proofErr w:type="spellStart"/>
            <w:r w:rsidRPr="00BA4867">
              <w:rPr>
                <w:rFonts w:asciiTheme="minorHAnsi" w:hAnsiTheme="minorHAnsi" w:cstheme="minorHAnsi"/>
              </w:rPr>
              <w:t>Symmetrical</w:t>
            </w:r>
            <w:proofErr w:type="spellEnd"/>
            <w:r w:rsidRPr="00BA4867">
              <w:rPr>
                <w:rFonts w:asciiTheme="minorHAnsi" w:hAnsiTheme="minorHAnsi" w:cstheme="minorHAnsi"/>
              </w:rPr>
              <w:t xml:space="preserve"> Active-Active (SAN-</w:t>
            </w:r>
            <w:proofErr w:type="spellStart"/>
            <w:r w:rsidRPr="00BA4867">
              <w:rPr>
                <w:rFonts w:asciiTheme="minorHAnsi" w:hAnsiTheme="minorHAnsi" w:cstheme="minorHAnsi"/>
              </w:rPr>
              <w:t>only</w:t>
            </w:r>
            <w:proofErr w:type="spellEnd"/>
            <w:r w:rsidRPr="00BA4867">
              <w:rPr>
                <w:rFonts w:asciiTheme="minorHAnsi" w:hAnsiTheme="minorHAnsi" w:cstheme="minorHAnsi"/>
              </w:rPr>
              <w:t>), to znaczy w trybie zapewniającym dostęp do wolumenów logicznych (LUN) utworzonych w macierzy, z wykorzystaniem wszystkich dostępnych ścieżek (</w:t>
            </w:r>
            <w:proofErr w:type="spellStart"/>
            <w:r w:rsidRPr="00BA4867">
              <w:rPr>
                <w:rFonts w:asciiTheme="minorHAnsi" w:hAnsiTheme="minorHAnsi" w:cstheme="minorHAnsi"/>
              </w:rPr>
              <w:t>path</w:t>
            </w:r>
            <w:proofErr w:type="spellEnd"/>
            <w:r w:rsidRPr="00BA4867">
              <w:rPr>
                <w:rFonts w:asciiTheme="minorHAnsi" w:hAnsiTheme="minorHAnsi" w:cstheme="minorHAnsi"/>
              </w:rPr>
              <w:t>) i portów kontrolerów w trybie bez wymuszania preferowanej ścieżki dostępu oraz z zapewnieniem automatycznego równoważenia obciążenia (</w:t>
            </w:r>
            <w:proofErr w:type="spellStart"/>
            <w:r w:rsidRPr="00BA4867">
              <w:rPr>
                <w:rFonts w:asciiTheme="minorHAnsi" w:hAnsiTheme="minorHAnsi" w:cstheme="minorHAnsi"/>
              </w:rPr>
              <w:t>load</w:t>
            </w:r>
            <w:proofErr w:type="spellEnd"/>
            <w:r w:rsidRPr="00BA4867">
              <w:rPr>
                <w:rFonts w:asciiTheme="minorHAnsi" w:hAnsiTheme="minorHAnsi" w:cstheme="minorHAnsi"/>
              </w:rPr>
              <w:t xml:space="preserve"> </w:t>
            </w:r>
            <w:proofErr w:type="spellStart"/>
            <w:r w:rsidRPr="00BA4867">
              <w:rPr>
                <w:rFonts w:asciiTheme="minorHAnsi" w:hAnsiTheme="minorHAnsi" w:cstheme="minorHAnsi"/>
              </w:rPr>
              <w:t>balancing</w:t>
            </w:r>
            <w:proofErr w:type="spellEnd"/>
            <w:r w:rsidRPr="00BA4867">
              <w:rPr>
                <w:rFonts w:asciiTheme="minorHAnsi" w:hAnsiTheme="minorHAnsi" w:cstheme="minorHAnsi"/>
              </w:rPr>
              <w:t xml:space="preserve">). Kontrolery muszą pozwalać na udostępnianie zasobów protokołem FC, </w:t>
            </w:r>
            <w:proofErr w:type="spellStart"/>
            <w:r w:rsidRPr="00BA4867">
              <w:rPr>
                <w:rFonts w:asciiTheme="minorHAnsi" w:hAnsiTheme="minorHAnsi" w:cstheme="minorHAnsi"/>
              </w:rPr>
              <w:t>iSCSI</w:t>
            </w:r>
            <w:proofErr w:type="spellEnd"/>
            <w:r w:rsidRPr="00BA4867">
              <w:rPr>
                <w:rFonts w:asciiTheme="minorHAnsi" w:hAnsiTheme="minorHAnsi" w:cstheme="minorHAnsi"/>
              </w:rPr>
              <w:t xml:space="preserve"> w zależności od zastosowanych kart komunikacyjnych.  </w:t>
            </w:r>
          </w:p>
          <w:p w14:paraId="3165A61D"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23A2651A"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Komunikacja pomiędzy parą kontrolerów (synchronizacja cache) macierzy musi wykorzystywać wewnętrzną, dedykowaną magistralę zapewniającą wysoką przepustowość i niskie opóźnienia; nie dopuszcza się w szczególności komunikacji z wykorzystaniem urządzeń aktywnych FC/Ethernet/</w:t>
            </w:r>
            <w:proofErr w:type="spellStart"/>
            <w:r w:rsidRPr="00BA4867">
              <w:rPr>
                <w:rFonts w:asciiTheme="minorHAnsi" w:hAnsiTheme="minorHAnsi" w:cstheme="minorHAnsi"/>
              </w:rPr>
              <w:t>Infiniband</w:t>
            </w:r>
            <w:proofErr w:type="spellEnd"/>
            <w:r w:rsidRPr="00BA4867">
              <w:rPr>
                <w:rFonts w:asciiTheme="minorHAnsi" w:hAnsiTheme="minorHAnsi" w:cstheme="minorHAnsi"/>
              </w:rPr>
              <w:t>.</w:t>
            </w:r>
          </w:p>
          <w:p w14:paraId="280D63A0"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24B3A80D"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bookmarkStart w:id="2" w:name="_Hlk75962237"/>
            <w:r w:rsidRPr="00BA4867">
              <w:rPr>
                <w:rFonts w:asciiTheme="minorHAnsi" w:hAnsiTheme="minorHAnsi" w:cstheme="minorHAnsi"/>
              </w:rPr>
              <w:t>Zamawiający dopuszcza komunikację z wykorzystaniem urządzeń aktywnych przy klastrze wielu kontrolerów. Każdy z kontrolerów musi mieć możliwość jednoczesnej prezentacji (aktywny dostęp odczyt i zapis) wszystkich wolumenów utworzonych w logicznych ramach całego systemu dyskowego.</w:t>
            </w:r>
            <w:bookmarkEnd w:id="2"/>
            <w:r w:rsidRPr="00BA4867">
              <w:rPr>
                <w:rFonts w:asciiTheme="minorHAnsi" w:hAnsiTheme="minorHAnsi" w:cstheme="minorHAnsi"/>
              </w:rPr>
              <w:br/>
            </w:r>
          </w:p>
          <w:p w14:paraId="1B42B3AC"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Urządzenie musi umożliwiać podniesienie wydajności i niezawodności poprzez rozbudowę do 2 par kontrolerów, tworzących jedną logiczną macierz dyskową. Rozbudowa musi być możliwa bez konieczności wymiany zaoferowanej pary kontrolerów na nowe. </w:t>
            </w:r>
            <w:r w:rsidRPr="00BA4867">
              <w:rPr>
                <w:rFonts w:asciiTheme="minorHAnsi" w:hAnsiTheme="minorHAnsi" w:cstheme="minorHAnsi"/>
                <w:bCs/>
                <w:iCs/>
              </w:rPr>
              <w:t xml:space="preserve">Za jedną logiczną macierz uznaje się rozwiązanie, w którym zarządzanie wszystkimi kontrolerami jest możliwe z jednego interfejsu GUI, CLI. Nie dopuszcza się rozwiązanie oparte o </w:t>
            </w:r>
            <w:proofErr w:type="spellStart"/>
            <w:r w:rsidRPr="00BA4867">
              <w:rPr>
                <w:rFonts w:asciiTheme="minorHAnsi" w:hAnsiTheme="minorHAnsi" w:cstheme="minorHAnsi"/>
                <w:bCs/>
                <w:iCs/>
              </w:rPr>
              <w:t>wirtualizator</w:t>
            </w:r>
            <w:proofErr w:type="spellEnd"/>
            <w:r w:rsidRPr="00BA4867">
              <w:rPr>
                <w:rFonts w:asciiTheme="minorHAnsi" w:hAnsiTheme="minorHAnsi" w:cstheme="minorHAnsi"/>
                <w:bCs/>
                <w:iCs/>
              </w:rPr>
              <w:t>.</w:t>
            </w:r>
            <w:r w:rsidRPr="00BA4867">
              <w:rPr>
                <w:rFonts w:asciiTheme="minorHAnsi" w:hAnsiTheme="minorHAnsi" w:cstheme="minorHAnsi"/>
              </w:rPr>
              <w:br/>
            </w:r>
          </w:p>
          <w:p w14:paraId="68F382C2"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Macierz musi umożliwiać rozbudowę do co najmniej 6 par kontrolerów dyskowych tworzących jedna logiczną macierz, bez konieczności wymiany zaoferowanej pary kontrolerów.</w:t>
            </w:r>
          </w:p>
          <w:p w14:paraId="60EC2BEF"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5F5E5966"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Macierz musi być skonstruowana wyłącznie do obsługi modułów pamięci SSD i w żadnej konfiguracji nie może obsługiwać przestrzeni danych użytkownika na dyskach obrotowych/talerzowych.</w:t>
            </w:r>
          </w:p>
          <w:p w14:paraId="41987545"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10D7C265"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Całkowita pojemność brutto (fizyczna) urządzenia (pojedynczej macierzy) musi wynosić minimum 30 TB i musi być zbudowana wyłącznie w oparciu o moduły pamięci SSD. Rozmiar pojedynczego modułu nie może być większy niż 4 TB.</w:t>
            </w:r>
          </w:p>
          <w:p w14:paraId="40494680" w14:textId="77777777" w:rsidR="00BA4867" w:rsidRPr="00BA4867" w:rsidRDefault="00BA4867" w:rsidP="00BA4867">
            <w:pPr>
              <w:spacing w:after="200" w:line="276" w:lineRule="auto"/>
              <w:jc w:val="both"/>
              <w:rPr>
                <w:rFonts w:asciiTheme="minorHAnsi" w:hAnsiTheme="minorHAnsi" w:cstheme="minorHAnsi"/>
              </w:rPr>
            </w:pPr>
          </w:p>
          <w:p w14:paraId="562283FA"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lastRenderedPageBreak/>
              <w:t>Macierz musi umożliwiać rozbudowę do co najmniej 70 sztuk oferowanego typu modułów pamięci, bez wymiany kontrolerów macierzowych oraz bez potrzeby zakupu dodatkowych licencji. (tylko poprzez dodawanie półek i modułów SSD)</w:t>
            </w:r>
          </w:p>
          <w:p w14:paraId="052DE1BE" w14:textId="77777777" w:rsidR="00BA4867" w:rsidRPr="00BA4867" w:rsidRDefault="00BA4867" w:rsidP="00BA4867">
            <w:pPr>
              <w:spacing w:after="200" w:line="276" w:lineRule="auto"/>
              <w:ind w:left="720"/>
              <w:contextualSpacing/>
              <w:rPr>
                <w:rFonts w:asciiTheme="minorHAnsi" w:hAnsiTheme="minorHAnsi" w:cstheme="minorHAnsi"/>
              </w:rPr>
            </w:pPr>
          </w:p>
          <w:p w14:paraId="4C39FA48" w14:textId="77777777" w:rsidR="00BA4867" w:rsidRPr="00BA4867" w:rsidRDefault="00BA4867" w:rsidP="00BA4867">
            <w:pPr>
              <w:spacing w:after="200" w:line="276" w:lineRule="auto"/>
              <w:jc w:val="both"/>
              <w:rPr>
                <w:rFonts w:asciiTheme="minorHAnsi" w:hAnsiTheme="minorHAnsi" w:cstheme="minorHAnsi"/>
              </w:rPr>
            </w:pPr>
            <w:r w:rsidRPr="00BA4867">
              <w:rPr>
                <w:rFonts w:asciiTheme="minorHAnsi" w:hAnsiTheme="minorHAnsi" w:cstheme="minorHAnsi"/>
              </w:rPr>
              <w:t xml:space="preserve"> </w:t>
            </w:r>
          </w:p>
          <w:p w14:paraId="67438833"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Kontrolery łącznie muszą być wyposażone w procesory o sumarycznej ilości min. 48 rdzeni (ang.: </w:t>
            </w:r>
            <w:proofErr w:type="spellStart"/>
            <w:r w:rsidRPr="00BA4867">
              <w:rPr>
                <w:rFonts w:asciiTheme="minorHAnsi" w:hAnsiTheme="minorHAnsi" w:cstheme="minorHAnsi"/>
              </w:rPr>
              <w:t>core</w:t>
            </w:r>
            <w:proofErr w:type="spellEnd"/>
            <w:r w:rsidRPr="00BA4867">
              <w:rPr>
                <w:rFonts w:asciiTheme="minorHAnsi" w:hAnsiTheme="minorHAnsi" w:cstheme="minorHAnsi"/>
              </w:rPr>
              <w:t>). Procesory w macierzy muszą obsługiwać protokół PCI Express Generacji 4.</w:t>
            </w:r>
          </w:p>
          <w:p w14:paraId="24CD09E2"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6900F885"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Urządzenie zbudowane z dwóch kontrolerów musi być wyposażone w co najmniej 128 GB  pamięci  podręcznej  cache obsługującej operacje odczytu i zapisu zbudowane w oparciu o wydajną pamięć RAM.  Zamawiający  nie  dopuszcza  możliwości  zastosowania dysków SSD/</w:t>
            </w:r>
            <w:proofErr w:type="spellStart"/>
            <w:r w:rsidRPr="00BA4867">
              <w:rPr>
                <w:rFonts w:asciiTheme="minorHAnsi" w:hAnsiTheme="minorHAnsi" w:cstheme="minorHAnsi"/>
              </w:rPr>
              <w:t>NVMe</w:t>
            </w:r>
            <w:proofErr w:type="spellEnd"/>
            <w:r w:rsidRPr="00BA4867">
              <w:rPr>
                <w:rFonts w:asciiTheme="minorHAnsi" w:hAnsiTheme="minorHAnsi" w:cstheme="minorHAnsi"/>
              </w:rPr>
              <w:t xml:space="preserve"> lub kart pamięci FLASH jako rozszerzenia pamięci cache. Pamięć cache musi być zabezpieczona przed utratą danych w przypadku awarii zasilania poprzez funkcję zapisu zawartości pamięci cache na nieulotną pamięć lub posiadać podtrzymywanie bateryjne min. 48 godzin.</w:t>
            </w:r>
          </w:p>
          <w:p w14:paraId="654AE2DA"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04EDAB8D"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Możliwość definiowania dysków SPARE lub odpowiedniej zapasowej przestrzeni dyskowej.</w:t>
            </w:r>
            <w:r w:rsidRPr="00BA4867">
              <w:rPr>
                <w:rFonts w:asciiTheme="minorHAnsi" w:hAnsiTheme="minorHAnsi" w:cstheme="minorHAnsi"/>
              </w:rPr>
              <w:br/>
            </w:r>
          </w:p>
          <w:p w14:paraId="2CDAF858"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Macierz musi posiadać minimum 8 portów 10Gb/s obsługujące protokół </w:t>
            </w:r>
            <w:proofErr w:type="spellStart"/>
            <w:r w:rsidRPr="00BA4867">
              <w:rPr>
                <w:rFonts w:asciiTheme="minorHAnsi" w:hAnsiTheme="minorHAnsi" w:cstheme="minorHAnsi"/>
              </w:rPr>
              <w:t>iSCSI</w:t>
            </w:r>
            <w:proofErr w:type="spellEnd"/>
            <w:r w:rsidRPr="00BA4867">
              <w:rPr>
                <w:rFonts w:asciiTheme="minorHAnsi" w:hAnsiTheme="minorHAnsi" w:cstheme="minorHAnsi"/>
              </w:rPr>
              <w:t xml:space="preserve"> na każdy kontroler. Jeśli korzystanie z któregoś z wyżej wymienionych portów wymaga zastosowania wkładek (np. SFP+), wymaga się ich dostarczenia wraz z urządzeniem.</w:t>
            </w:r>
            <w:r w:rsidRPr="00BA4867">
              <w:rPr>
                <w:rFonts w:asciiTheme="minorHAnsi" w:hAnsiTheme="minorHAnsi" w:cstheme="minorHAnsi"/>
              </w:rPr>
              <w:br/>
            </w:r>
          </w:p>
          <w:p w14:paraId="677623AE"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Możliwość rozbudowy macierzy o minimum 8 portów 25Gb/s obsługujących protokół w ramach zaoferowanej ilości kontrolerów oraz możliwość podłączania serwerów bezpośrednio do tych portów macierzy bez użycia przełączników. Możliwość rozbudowy o wskazane porty nie może ograniczać rozbudowy do wymaganej ilości modułów pamięci.</w:t>
            </w:r>
            <w:r w:rsidRPr="00BA4867">
              <w:rPr>
                <w:rFonts w:asciiTheme="minorHAnsi" w:hAnsiTheme="minorHAnsi" w:cstheme="minorHAnsi"/>
              </w:rPr>
              <w:br/>
            </w:r>
          </w:p>
          <w:p w14:paraId="3A43B0A3"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Urządzenie  musi  obsługiwać  poziomy  RAID5  i  RAID6  (RAID  z  dystrybuowaną przestrzenią  zapasową  typu  hot-</w:t>
            </w:r>
            <w:proofErr w:type="spellStart"/>
            <w:r w:rsidRPr="00BA4867">
              <w:rPr>
                <w:rFonts w:asciiTheme="minorHAnsi" w:hAnsiTheme="minorHAnsi" w:cstheme="minorHAnsi"/>
              </w:rPr>
              <w:t>spare</w:t>
            </w:r>
            <w:proofErr w:type="spellEnd"/>
            <w:r w:rsidRPr="00BA4867">
              <w:rPr>
                <w:rFonts w:asciiTheme="minorHAnsi" w:hAnsiTheme="minorHAnsi" w:cstheme="minorHAnsi"/>
              </w:rPr>
              <w:t>) lub równoważne poziomy RAID zabezpieczające przed awarią dwóch dysków jednocześnie.</w:t>
            </w:r>
            <w:r w:rsidRPr="00BA4867">
              <w:rPr>
                <w:rFonts w:asciiTheme="minorHAnsi" w:hAnsiTheme="minorHAnsi" w:cstheme="minorHAnsi"/>
              </w:rPr>
              <w:br/>
            </w:r>
          </w:p>
          <w:p w14:paraId="51DC42AB"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Macierz musi umożliwiać skonfigurowanie poziomu RAID zapewniającego odporność na jednoczesną awarię 3 dysków w grupie RAID.</w:t>
            </w:r>
            <w:r w:rsidRPr="00BA4867">
              <w:rPr>
                <w:rFonts w:asciiTheme="minorHAnsi" w:hAnsiTheme="minorHAnsi" w:cstheme="minorHAnsi"/>
              </w:rPr>
              <w:br/>
            </w:r>
          </w:p>
          <w:p w14:paraId="09F671B7"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Brak pojedynczego punktu awarii. Wszystkie krytyczne komponenty takie jak adaptery HBA, kontrolery dyskowe, pamięć, zasilacze i wentylatory muszą być zaprojektowane nadmiarowo: tak, aby awaria pojedynczego elementu nie wpływała na ciągłość dostępu do danych całego systemu. Komponenty te muszą być wymienialne w trakcie pracy.</w:t>
            </w:r>
          </w:p>
          <w:p w14:paraId="4E7539EB" w14:textId="77777777" w:rsidR="00BA4867" w:rsidRPr="00BA4867" w:rsidRDefault="00BA4867" w:rsidP="00BA4867">
            <w:pPr>
              <w:spacing w:after="200" w:line="276" w:lineRule="auto"/>
              <w:ind w:left="720"/>
              <w:contextualSpacing/>
              <w:jc w:val="both"/>
              <w:rPr>
                <w:rFonts w:asciiTheme="minorHAnsi" w:hAnsiTheme="minorHAnsi" w:cstheme="minorHAnsi"/>
              </w:rPr>
            </w:pPr>
            <w:r w:rsidRPr="00BA4867">
              <w:rPr>
                <w:rFonts w:asciiTheme="minorHAnsi" w:hAnsiTheme="minorHAnsi" w:cstheme="minorHAnsi"/>
              </w:rPr>
              <w:t xml:space="preserve"> </w:t>
            </w:r>
          </w:p>
          <w:p w14:paraId="023BCE4E"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Urządzenie musi cechować wsparcie dla zasilania z dwóch niezależnych źródeł prądu jednofazowego  o  napięciu  200-240V  i  częstotliwości  50-60Hz  poprzez  nadmiarowe zasilacze typu Hot-</w:t>
            </w:r>
            <w:proofErr w:type="spellStart"/>
            <w:r w:rsidRPr="00BA4867">
              <w:rPr>
                <w:rFonts w:asciiTheme="minorHAnsi" w:hAnsiTheme="minorHAnsi" w:cstheme="minorHAnsi"/>
              </w:rPr>
              <w:t>Swap</w:t>
            </w:r>
            <w:proofErr w:type="spellEnd"/>
            <w:r w:rsidRPr="00BA4867">
              <w:rPr>
                <w:rFonts w:asciiTheme="minorHAnsi" w:hAnsiTheme="minorHAnsi" w:cstheme="minorHAnsi"/>
              </w:rPr>
              <w:t>.</w:t>
            </w:r>
          </w:p>
          <w:p w14:paraId="4B664952"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2E17B778"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Wymagana jest funkcjonalność tworzenia i prezentacji dysków logicznych (LUN) o pojemności większej niż zajmowana fizyczna przestrzeń dyskowych (ang. </w:t>
            </w:r>
            <w:proofErr w:type="spellStart"/>
            <w:r w:rsidRPr="00BA4867">
              <w:rPr>
                <w:rFonts w:asciiTheme="minorHAnsi" w:hAnsiTheme="minorHAnsi" w:cstheme="minorHAnsi"/>
              </w:rPr>
              <w:t>ThinProvisioning</w:t>
            </w:r>
            <w:proofErr w:type="spellEnd"/>
            <w:r w:rsidRPr="00BA4867">
              <w:rPr>
                <w:rFonts w:asciiTheme="minorHAnsi" w:hAnsiTheme="minorHAnsi" w:cstheme="minorHAnsi"/>
              </w:rPr>
              <w:t xml:space="preserve">). Wymagana funkcjonalność zwrotu skasowanej przestrzeni dyskowej do puli zasobów wspólnych (ang. Space </w:t>
            </w:r>
            <w:proofErr w:type="spellStart"/>
            <w:r w:rsidRPr="00BA4867">
              <w:rPr>
                <w:rFonts w:asciiTheme="minorHAnsi" w:hAnsiTheme="minorHAnsi" w:cstheme="minorHAnsi"/>
              </w:rPr>
              <w:t>Reclamation</w:t>
            </w:r>
            <w:proofErr w:type="spellEnd"/>
            <w:r w:rsidRPr="00BA4867">
              <w:rPr>
                <w:rFonts w:asciiTheme="minorHAnsi" w:hAnsiTheme="minorHAnsi" w:cstheme="minorHAnsi"/>
              </w:rPr>
              <w:t>). Jeżeli do obsługi powyższej funkcjonalności wymagane są dodatkowe licencje, ich dostarczenie jest wymagane na tym etapie postępowania.</w:t>
            </w:r>
            <w:r w:rsidRPr="00BA4867">
              <w:rPr>
                <w:rFonts w:asciiTheme="minorHAnsi" w:hAnsiTheme="minorHAnsi" w:cstheme="minorHAnsi"/>
              </w:rPr>
              <w:br/>
            </w:r>
          </w:p>
          <w:p w14:paraId="5EE6378E"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Zarządzanie macierzą (wszystkimi kontrolerami) z poziomu pojedynczego interfejsu graficznego. Wymagane jest stałe monitorowanie stanu macierzy (w tym monitorowanie wydajności) oraz możliwość konfigurowania jej zasobów. Wymagana możliwość monitorowania stanu żywotności modułów SSD. Konsola graficzna musi </w:t>
            </w:r>
            <w:r w:rsidRPr="00BA4867">
              <w:rPr>
                <w:rFonts w:asciiTheme="minorHAnsi" w:hAnsiTheme="minorHAnsi" w:cstheme="minorHAnsi"/>
              </w:rPr>
              <w:lastRenderedPageBreak/>
              <w:t>być dostępna poprzez przeglądarkę internetową i być elementem systemu operacyjnego macierzy. Wymaga możliwość dostępu do danych wydajnościowych historycznych z poziomu GUI co najmniej 1 rok wstecz lub jako równoważne dostarczenie fizycznego serwera z oprogramowaniem umożlwiającym zbieranie i przeglądanie danych historycznych. Jeżeli do obsługi powyższej funkcjonalności wymagane są dodatkowe licencje, ich dostarczenie jest wymagane na tym etapie postępowania.</w:t>
            </w:r>
          </w:p>
          <w:p w14:paraId="40EE2EEF"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0C8B5354"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Urządzenie musi umożliwiać utworzenie 800 kopii migawkowych (ang. </w:t>
            </w:r>
            <w:proofErr w:type="spellStart"/>
            <w:r w:rsidRPr="00BA4867">
              <w:rPr>
                <w:rFonts w:asciiTheme="minorHAnsi" w:hAnsiTheme="minorHAnsi" w:cstheme="minorHAnsi"/>
              </w:rPr>
              <w:t>snapshot</w:t>
            </w:r>
            <w:proofErr w:type="spellEnd"/>
            <w:r w:rsidRPr="00BA4867">
              <w:rPr>
                <w:rFonts w:asciiTheme="minorHAnsi" w:hAnsiTheme="minorHAnsi" w:cstheme="minorHAnsi"/>
              </w:rPr>
              <w:t xml:space="preserve">) w trybie ROW (ang. </w:t>
            </w:r>
            <w:proofErr w:type="spellStart"/>
            <w:r w:rsidRPr="00BA4867">
              <w:rPr>
                <w:rFonts w:asciiTheme="minorHAnsi" w:hAnsiTheme="minorHAnsi" w:cstheme="minorHAnsi"/>
              </w:rPr>
              <w:t>Redirect</w:t>
            </w:r>
            <w:proofErr w:type="spellEnd"/>
            <w:r w:rsidRPr="00BA4867">
              <w:rPr>
                <w:rFonts w:asciiTheme="minorHAnsi" w:hAnsiTheme="minorHAnsi" w:cstheme="minorHAnsi"/>
              </w:rPr>
              <w:t xml:space="preserve"> on Write) dla pojedynczego wolumenu oraz minimum 5000 dla całej macierzy. Niedopuszczalne jest wykonywanie kopii w technologii COW (ang. </w:t>
            </w:r>
            <w:proofErr w:type="spellStart"/>
            <w:r w:rsidRPr="00BA4867">
              <w:rPr>
                <w:rFonts w:asciiTheme="minorHAnsi" w:hAnsiTheme="minorHAnsi" w:cstheme="minorHAnsi"/>
              </w:rPr>
              <w:t>Copy</w:t>
            </w:r>
            <w:proofErr w:type="spellEnd"/>
            <w:r w:rsidRPr="00BA4867">
              <w:rPr>
                <w:rFonts w:asciiTheme="minorHAnsi" w:hAnsiTheme="minorHAnsi" w:cstheme="minorHAnsi"/>
              </w:rPr>
              <w:t>-on-Write). Jeżeli do obsługi powyższej funkcjonalności wymagane są dodatkowe licencje, ich dostarczenie jest wymagane na tym etapie postępowania.</w:t>
            </w:r>
          </w:p>
          <w:p w14:paraId="58088273"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598153D0"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Rozwiązanie musi umożliwiać hierarchiczne tworzenie kopii migawkowych (np. kopia z kopii z kopii).</w:t>
            </w:r>
          </w:p>
          <w:p w14:paraId="51792AD4"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306CDFCF"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Tworzenie na żądanie pełnej kopii danych typu klon w ramach macierzy za pomocą wewnętrznych kontrolerów macierzowych. Funkcjonalność ta musi umożliwiać synchronizację danych z woluminu źródłowego na docelowy oraz </w:t>
            </w:r>
            <w:proofErr w:type="spellStart"/>
            <w:r w:rsidRPr="00BA4867">
              <w:rPr>
                <w:rFonts w:asciiTheme="minorHAnsi" w:hAnsiTheme="minorHAnsi" w:cstheme="minorHAnsi"/>
              </w:rPr>
              <w:t>resynchronizację</w:t>
            </w:r>
            <w:proofErr w:type="spellEnd"/>
            <w:r w:rsidRPr="00BA4867">
              <w:rPr>
                <w:rFonts w:asciiTheme="minorHAnsi" w:hAnsiTheme="minorHAnsi" w:cstheme="minorHAnsi"/>
              </w:rPr>
              <w:t xml:space="preserve"> danych z woluminu docelowego na źródłowy np. w sytuacji uszkodzenia danych na woluminie źródłowym.  Dostarczenie tej funkcjonalności jest wymagane na tym etapie postępowania.</w:t>
            </w:r>
          </w:p>
          <w:p w14:paraId="5BD2C50A" w14:textId="77777777" w:rsidR="00BA4867" w:rsidRPr="00BA4867" w:rsidRDefault="00BA4867" w:rsidP="00BA4867">
            <w:pPr>
              <w:spacing w:after="200" w:line="276" w:lineRule="auto"/>
              <w:ind w:left="720"/>
              <w:contextualSpacing/>
              <w:jc w:val="both"/>
              <w:rPr>
                <w:rFonts w:asciiTheme="minorHAnsi" w:hAnsiTheme="minorHAnsi" w:cstheme="minorHAnsi"/>
              </w:rPr>
            </w:pPr>
            <w:r w:rsidRPr="00BA4867">
              <w:rPr>
                <w:rFonts w:asciiTheme="minorHAnsi" w:hAnsiTheme="minorHAnsi" w:cstheme="minorHAnsi"/>
              </w:rPr>
              <w:br/>
            </w:r>
          </w:p>
          <w:p w14:paraId="3FDDFD5B"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Macierz musi mieć możliwość włączenia funkcjonalności </w:t>
            </w:r>
            <w:proofErr w:type="spellStart"/>
            <w:r w:rsidRPr="00BA4867">
              <w:rPr>
                <w:rFonts w:asciiTheme="minorHAnsi" w:hAnsiTheme="minorHAnsi" w:cstheme="minorHAnsi"/>
              </w:rPr>
              <w:t>deduplikacji</w:t>
            </w:r>
            <w:proofErr w:type="spellEnd"/>
            <w:r w:rsidRPr="00BA4867">
              <w:rPr>
                <w:rFonts w:asciiTheme="minorHAnsi" w:hAnsiTheme="minorHAnsi" w:cstheme="minorHAnsi"/>
              </w:rPr>
              <w:t xml:space="preserve"> i kompresji danych w trybie in-</w:t>
            </w:r>
            <w:proofErr w:type="spellStart"/>
            <w:r w:rsidRPr="00BA4867">
              <w:rPr>
                <w:rFonts w:asciiTheme="minorHAnsi" w:hAnsiTheme="minorHAnsi" w:cstheme="minorHAnsi"/>
              </w:rPr>
              <w:t>line</w:t>
            </w:r>
            <w:proofErr w:type="spellEnd"/>
            <w:r w:rsidRPr="00BA4867">
              <w:rPr>
                <w:rFonts w:asciiTheme="minorHAnsi" w:hAnsiTheme="minorHAnsi" w:cstheme="minorHAnsi"/>
              </w:rPr>
              <w:t>, a ponadto musi ona umożliwiać:</w:t>
            </w:r>
          </w:p>
          <w:p w14:paraId="424D550A" w14:textId="77777777" w:rsidR="00BA4867" w:rsidRPr="00BA4867" w:rsidRDefault="00BA4867" w:rsidP="00BA4867">
            <w:pPr>
              <w:numPr>
                <w:ilvl w:val="0"/>
                <w:numId w:val="24"/>
              </w:numPr>
              <w:spacing w:after="200" w:line="276" w:lineRule="auto"/>
              <w:ind w:hanging="11"/>
              <w:contextualSpacing/>
              <w:jc w:val="both"/>
              <w:rPr>
                <w:rFonts w:asciiTheme="minorHAnsi" w:hAnsiTheme="minorHAnsi" w:cstheme="minorHAnsi"/>
              </w:rPr>
            </w:pPr>
            <w:r w:rsidRPr="00BA4867">
              <w:rPr>
                <w:rFonts w:asciiTheme="minorHAnsi" w:hAnsiTheme="minorHAnsi" w:cstheme="minorHAnsi"/>
              </w:rPr>
              <w:t xml:space="preserve">włączenie </w:t>
            </w:r>
            <w:proofErr w:type="spellStart"/>
            <w:r w:rsidRPr="00BA4867">
              <w:rPr>
                <w:rFonts w:asciiTheme="minorHAnsi" w:hAnsiTheme="minorHAnsi" w:cstheme="minorHAnsi"/>
              </w:rPr>
              <w:t>deduplikacji</w:t>
            </w:r>
            <w:proofErr w:type="spellEnd"/>
            <w:r w:rsidRPr="00BA4867">
              <w:rPr>
                <w:rFonts w:asciiTheme="minorHAnsi" w:hAnsiTheme="minorHAnsi" w:cstheme="minorHAnsi"/>
              </w:rPr>
              <w:t xml:space="preserve"> dla poszczególnych wolumenów,</w:t>
            </w:r>
          </w:p>
          <w:p w14:paraId="2BC43754" w14:textId="77777777" w:rsidR="00BA4867" w:rsidRPr="00BA4867" w:rsidRDefault="00BA4867" w:rsidP="00BA4867">
            <w:pPr>
              <w:numPr>
                <w:ilvl w:val="0"/>
                <w:numId w:val="24"/>
              </w:numPr>
              <w:spacing w:after="200" w:line="276" w:lineRule="auto"/>
              <w:ind w:hanging="11"/>
              <w:contextualSpacing/>
              <w:jc w:val="both"/>
              <w:rPr>
                <w:rFonts w:asciiTheme="minorHAnsi" w:hAnsiTheme="minorHAnsi" w:cstheme="minorHAnsi"/>
              </w:rPr>
            </w:pPr>
            <w:r w:rsidRPr="00BA4867">
              <w:rPr>
                <w:rFonts w:asciiTheme="minorHAnsi" w:hAnsiTheme="minorHAnsi" w:cstheme="minorHAnsi"/>
              </w:rPr>
              <w:t xml:space="preserve">wyłączenie </w:t>
            </w:r>
            <w:proofErr w:type="spellStart"/>
            <w:r w:rsidRPr="00BA4867">
              <w:rPr>
                <w:rFonts w:asciiTheme="minorHAnsi" w:hAnsiTheme="minorHAnsi" w:cstheme="minorHAnsi"/>
              </w:rPr>
              <w:t>deduplikacji</w:t>
            </w:r>
            <w:proofErr w:type="spellEnd"/>
            <w:r w:rsidRPr="00BA4867">
              <w:rPr>
                <w:rFonts w:asciiTheme="minorHAnsi" w:hAnsiTheme="minorHAnsi" w:cstheme="minorHAnsi"/>
              </w:rPr>
              <w:t xml:space="preserve"> dla poszczególnych wolumenów na których wcześniej </w:t>
            </w:r>
            <w:proofErr w:type="spellStart"/>
            <w:r w:rsidRPr="00BA4867">
              <w:rPr>
                <w:rFonts w:asciiTheme="minorHAnsi" w:hAnsiTheme="minorHAnsi" w:cstheme="minorHAnsi"/>
              </w:rPr>
              <w:t>deduplikacja</w:t>
            </w:r>
            <w:proofErr w:type="spellEnd"/>
            <w:r w:rsidRPr="00BA4867">
              <w:rPr>
                <w:rFonts w:asciiTheme="minorHAnsi" w:hAnsiTheme="minorHAnsi" w:cstheme="minorHAnsi"/>
              </w:rPr>
              <w:t xml:space="preserve"> była włączona,</w:t>
            </w:r>
          </w:p>
          <w:p w14:paraId="218B4B10" w14:textId="77777777" w:rsidR="00BA4867" w:rsidRPr="00BA4867" w:rsidRDefault="00BA4867" w:rsidP="00BA4867">
            <w:pPr>
              <w:numPr>
                <w:ilvl w:val="0"/>
                <w:numId w:val="24"/>
              </w:numPr>
              <w:spacing w:after="200" w:line="276" w:lineRule="auto"/>
              <w:ind w:hanging="11"/>
              <w:contextualSpacing/>
              <w:jc w:val="both"/>
              <w:rPr>
                <w:rFonts w:asciiTheme="minorHAnsi" w:hAnsiTheme="minorHAnsi" w:cstheme="minorHAnsi"/>
              </w:rPr>
            </w:pPr>
            <w:r w:rsidRPr="00BA4867">
              <w:rPr>
                <w:rFonts w:asciiTheme="minorHAnsi" w:hAnsiTheme="minorHAnsi" w:cstheme="minorHAnsi"/>
              </w:rPr>
              <w:t>włączenie kompresji dla poszczególnych wolumenów,</w:t>
            </w:r>
          </w:p>
          <w:p w14:paraId="77CB6B78" w14:textId="77777777" w:rsidR="00BA4867" w:rsidRPr="00BA4867" w:rsidRDefault="00BA4867" w:rsidP="00BA4867">
            <w:pPr>
              <w:numPr>
                <w:ilvl w:val="0"/>
                <w:numId w:val="24"/>
              </w:numPr>
              <w:spacing w:after="200" w:line="276" w:lineRule="auto"/>
              <w:ind w:hanging="11"/>
              <w:contextualSpacing/>
              <w:jc w:val="both"/>
              <w:rPr>
                <w:rFonts w:asciiTheme="minorHAnsi" w:hAnsiTheme="minorHAnsi" w:cstheme="minorHAnsi"/>
              </w:rPr>
            </w:pPr>
            <w:r w:rsidRPr="00BA4867">
              <w:rPr>
                <w:rFonts w:asciiTheme="minorHAnsi" w:hAnsiTheme="minorHAnsi" w:cstheme="minorHAnsi"/>
              </w:rPr>
              <w:t>wyłączenie kompresji dla poszczególnych wolumenów na których wcześniej kompresja była włączona,</w:t>
            </w:r>
          </w:p>
          <w:p w14:paraId="51E6BF72" w14:textId="77777777" w:rsidR="00BA4867" w:rsidRPr="00BA4867" w:rsidRDefault="00BA4867" w:rsidP="00BA4867">
            <w:pPr>
              <w:numPr>
                <w:ilvl w:val="0"/>
                <w:numId w:val="24"/>
              </w:numPr>
              <w:spacing w:after="200" w:line="276" w:lineRule="auto"/>
              <w:ind w:hanging="11"/>
              <w:contextualSpacing/>
              <w:jc w:val="both"/>
              <w:rPr>
                <w:rFonts w:asciiTheme="minorHAnsi" w:hAnsiTheme="minorHAnsi" w:cstheme="minorHAnsi"/>
              </w:rPr>
            </w:pPr>
            <w:r w:rsidRPr="00BA4867">
              <w:rPr>
                <w:rFonts w:asciiTheme="minorHAnsi" w:hAnsiTheme="minorHAnsi" w:cstheme="minorHAnsi"/>
              </w:rPr>
              <w:t xml:space="preserve">uruchomienia jednocześnie </w:t>
            </w:r>
            <w:proofErr w:type="spellStart"/>
            <w:r w:rsidRPr="00BA4867">
              <w:rPr>
                <w:rFonts w:asciiTheme="minorHAnsi" w:hAnsiTheme="minorHAnsi" w:cstheme="minorHAnsi"/>
              </w:rPr>
              <w:t>deduplikacji</w:t>
            </w:r>
            <w:proofErr w:type="spellEnd"/>
            <w:r w:rsidRPr="00BA4867">
              <w:rPr>
                <w:rFonts w:asciiTheme="minorHAnsi" w:hAnsiTheme="minorHAnsi" w:cstheme="minorHAnsi"/>
              </w:rPr>
              <w:t xml:space="preserve"> i kompresji dla dowolnego wolumenu,</w:t>
            </w:r>
            <w:r w:rsidRPr="00BA4867">
              <w:rPr>
                <w:rFonts w:asciiTheme="minorHAnsi" w:hAnsiTheme="minorHAnsi" w:cstheme="minorHAnsi"/>
              </w:rPr>
              <w:br/>
            </w:r>
          </w:p>
          <w:p w14:paraId="1C4B6523" w14:textId="77777777" w:rsidR="00BA4867" w:rsidRPr="00BA4867" w:rsidRDefault="00BA4867" w:rsidP="00BA4867">
            <w:pPr>
              <w:spacing w:after="200" w:line="276" w:lineRule="auto"/>
              <w:ind w:left="720"/>
              <w:contextualSpacing/>
              <w:jc w:val="both"/>
              <w:rPr>
                <w:rFonts w:asciiTheme="minorHAnsi" w:hAnsiTheme="minorHAnsi" w:cstheme="minorHAnsi"/>
              </w:rPr>
            </w:pPr>
            <w:r w:rsidRPr="00BA4867">
              <w:rPr>
                <w:rFonts w:asciiTheme="minorHAnsi" w:hAnsiTheme="minorHAnsi" w:cstheme="minorHAnsi"/>
              </w:rPr>
              <w:t>Jeżeli do obsługi powyższej funkcjonalności wymagane są dodatkowe licencje, ich dostarczenie nie jest wymagane na tym etapie postępowania.</w:t>
            </w:r>
            <w:r w:rsidRPr="00BA4867">
              <w:rPr>
                <w:rFonts w:asciiTheme="minorHAnsi" w:hAnsiTheme="minorHAnsi" w:cstheme="minorHAnsi"/>
              </w:rPr>
              <w:br/>
            </w:r>
          </w:p>
          <w:p w14:paraId="1373B8B3"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Macierz musi umożliwiać uruchomienie mechanizmów zdalnej replikacji danych z innymi macierzami (ten sam model/rodzina modeli) - w trybie synchronicznym i asynchronicznym - po protokołach FC lub </w:t>
            </w:r>
            <w:proofErr w:type="spellStart"/>
            <w:r w:rsidRPr="00BA4867">
              <w:rPr>
                <w:rFonts w:asciiTheme="minorHAnsi" w:hAnsiTheme="minorHAnsi" w:cstheme="minorHAnsi"/>
              </w:rPr>
              <w:t>iSCSI</w:t>
            </w:r>
            <w:proofErr w:type="spellEnd"/>
            <w:r w:rsidRPr="00BA4867">
              <w:rPr>
                <w:rFonts w:asciiTheme="minorHAnsi" w:hAnsiTheme="minorHAnsi" w:cstheme="minorHAnsi"/>
              </w:rPr>
              <w:t xml:space="preserve"> bez konieczności stosowania zewnętrznych urządzeń konwersji wymienionych protokołów transmisji, główek typu serwer/</w:t>
            </w:r>
            <w:proofErr w:type="spellStart"/>
            <w:r w:rsidRPr="00BA4867">
              <w:rPr>
                <w:rFonts w:asciiTheme="minorHAnsi" w:hAnsiTheme="minorHAnsi" w:cstheme="minorHAnsi"/>
              </w:rPr>
              <w:t>wirtualizator</w:t>
            </w:r>
            <w:proofErr w:type="spellEnd"/>
            <w:r w:rsidRPr="00BA4867">
              <w:rPr>
                <w:rFonts w:asciiTheme="minorHAnsi" w:hAnsiTheme="minorHAnsi" w:cstheme="minorHAnsi"/>
              </w:rPr>
              <w:t>, itp. Funkcjonalność replikacji danych musi być zapewniona z poziomu oprogramowania wewnętrznego macierzy. Jeżeli do obsługi powyższej funkcjonalności wymagane są dodatkowe licencje, ich dostarczenie jest wymagane na tym etapie postępowania.</w:t>
            </w:r>
          </w:p>
          <w:p w14:paraId="59815B5B"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529A91F7"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Model oferowanej macierzy musi znajdować się na oficjalnej liście zgodności </w:t>
            </w:r>
            <w:proofErr w:type="spellStart"/>
            <w:r w:rsidRPr="00BA4867">
              <w:rPr>
                <w:rFonts w:asciiTheme="minorHAnsi" w:hAnsiTheme="minorHAnsi" w:cstheme="minorHAnsi"/>
              </w:rPr>
              <w:t>VMware</w:t>
            </w:r>
            <w:proofErr w:type="spellEnd"/>
            <w:r w:rsidRPr="00BA4867">
              <w:rPr>
                <w:rFonts w:asciiTheme="minorHAnsi" w:hAnsiTheme="minorHAnsi" w:cstheme="minorHAnsi"/>
              </w:rPr>
              <w:t xml:space="preserve"> (dostępnej na stronie </w:t>
            </w:r>
            <w:hyperlink r:id="rId10" w:history="1">
              <w:r w:rsidRPr="00BA4867">
                <w:rPr>
                  <w:rFonts w:asciiTheme="minorHAnsi" w:hAnsiTheme="minorHAnsi" w:cstheme="minorHAnsi"/>
                  <w:u w:val="single"/>
                </w:rPr>
                <w:t>https://www.vmware.com/resources/compatibility/search.php</w:t>
              </w:r>
            </w:hyperlink>
            <w:r w:rsidRPr="00BA4867">
              <w:rPr>
                <w:rFonts w:asciiTheme="minorHAnsi" w:hAnsiTheme="minorHAnsi" w:cstheme="minorHAnsi"/>
              </w:rPr>
              <w:t xml:space="preserve">  ) dla kryterium wyszukiwania “Site </w:t>
            </w:r>
            <w:proofErr w:type="spellStart"/>
            <w:r w:rsidRPr="00BA4867">
              <w:rPr>
                <w:rFonts w:asciiTheme="minorHAnsi" w:hAnsiTheme="minorHAnsi" w:cstheme="minorHAnsi"/>
              </w:rPr>
              <w:t>Recovery</w:t>
            </w:r>
            <w:proofErr w:type="spellEnd"/>
            <w:r w:rsidRPr="00BA4867">
              <w:rPr>
                <w:rFonts w:asciiTheme="minorHAnsi" w:hAnsiTheme="minorHAnsi" w:cstheme="minorHAnsi"/>
              </w:rPr>
              <w:t xml:space="preserve"> Manager (SRM) for SRA” i produktu “SRM 8.3” lub jego nowszej dostępnej aktualizacji.</w:t>
            </w:r>
          </w:p>
          <w:p w14:paraId="0EDE9DC1" w14:textId="77777777" w:rsidR="00BA4867" w:rsidRPr="00BA4867" w:rsidRDefault="00BA4867" w:rsidP="00BA4867">
            <w:pPr>
              <w:spacing w:after="200" w:line="276" w:lineRule="auto"/>
              <w:ind w:left="720"/>
              <w:contextualSpacing/>
              <w:jc w:val="both"/>
              <w:rPr>
                <w:rFonts w:asciiTheme="minorHAnsi" w:hAnsiTheme="minorHAnsi" w:cstheme="minorHAnsi"/>
              </w:rPr>
            </w:pPr>
            <w:r w:rsidRPr="00BA4867">
              <w:rPr>
                <w:rFonts w:asciiTheme="minorHAnsi" w:hAnsiTheme="minorHAnsi" w:cstheme="minorHAnsi"/>
              </w:rPr>
              <w:t xml:space="preserve"> </w:t>
            </w:r>
          </w:p>
          <w:p w14:paraId="0D56B39B"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Model oferowanej macierzy musi wspierać rozwiązanie  klastra „wysokiej dostępności” tj. zapewnienia wysokiej dostępności zasobów danych macierzy dla podłączonych platform software’owych i sprzętowych z wykorzystaniem synchronicznej replikacji danych po FC lub </w:t>
            </w:r>
            <w:proofErr w:type="spellStart"/>
            <w:r w:rsidRPr="00BA4867">
              <w:rPr>
                <w:rFonts w:asciiTheme="minorHAnsi" w:hAnsiTheme="minorHAnsi" w:cstheme="minorHAnsi"/>
              </w:rPr>
              <w:t>iSCSI</w:t>
            </w:r>
            <w:proofErr w:type="spellEnd"/>
            <w:r w:rsidRPr="00BA4867">
              <w:rPr>
                <w:rFonts w:asciiTheme="minorHAnsi" w:hAnsiTheme="minorHAnsi" w:cstheme="minorHAnsi"/>
              </w:rPr>
              <w:t xml:space="preserve"> pomiędzy minimum 2 macierzami. Pod użytym pojęciem „wysoka dostępność zasobów dyskowych” należy rozumieć zapewnienie bezprzerwowego </w:t>
            </w:r>
            <w:r w:rsidRPr="00BA4867">
              <w:rPr>
                <w:rFonts w:asciiTheme="minorHAnsi" w:hAnsiTheme="minorHAnsi" w:cstheme="minorHAnsi"/>
              </w:rPr>
              <w:lastRenderedPageBreak/>
              <w:t xml:space="preserve">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Replikacja danych pomiędzy macierzami podstawową i zapasową, wykorzystanych w układzie „wysokiej dostępności”, musi wspierać </w:t>
            </w:r>
            <w:proofErr w:type="spellStart"/>
            <w:r w:rsidRPr="00BA4867">
              <w:rPr>
                <w:rFonts w:asciiTheme="minorHAnsi" w:hAnsiTheme="minorHAnsi" w:cstheme="minorHAnsi"/>
              </w:rPr>
              <w:t>klastrownie</w:t>
            </w:r>
            <w:proofErr w:type="spellEnd"/>
            <w:r w:rsidRPr="00BA4867">
              <w:rPr>
                <w:rFonts w:asciiTheme="minorHAnsi" w:hAnsiTheme="minorHAnsi" w:cstheme="minorHAnsi"/>
              </w:rPr>
              <w:t xml:space="preserve"> wybranych woluminów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przypadku awarii macierzy podstawowej (tzw. </w:t>
            </w:r>
            <w:proofErr w:type="spellStart"/>
            <w:r w:rsidRPr="00BA4867">
              <w:rPr>
                <w:rFonts w:asciiTheme="minorHAnsi" w:hAnsiTheme="minorHAnsi" w:cstheme="minorHAnsi"/>
              </w:rPr>
              <w:t>automated</w:t>
            </w:r>
            <w:proofErr w:type="spellEnd"/>
            <w:r w:rsidRPr="00BA4867">
              <w:rPr>
                <w:rFonts w:asciiTheme="minorHAnsi" w:hAnsiTheme="minorHAnsi" w:cstheme="minorHAnsi"/>
              </w:rPr>
              <w:t xml:space="preserve"> </w:t>
            </w:r>
            <w:proofErr w:type="spellStart"/>
            <w:r w:rsidRPr="00BA4867">
              <w:rPr>
                <w:rFonts w:asciiTheme="minorHAnsi" w:hAnsiTheme="minorHAnsi" w:cstheme="minorHAnsi"/>
              </w:rPr>
              <w:t>failover</w:t>
            </w:r>
            <w:proofErr w:type="spellEnd"/>
            <w:r w:rsidRPr="00BA4867">
              <w:rPr>
                <w:rFonts w:asciiTheme="minorHAnsi" w:hAnsiTheme="minorHAnsi" w:cstheme="minorHAnsi"/>
              </w:rPr>
              <w:t xml:space="preserve">). Funkcjonalność „wysokiej dostępności” musi pozwalać na ręczne (zaplanowane) przełączanie obsługi środowisk produkcyjnych z macierzy podstawowej na zapasową (tzw. manual </w:t>
            </w:r>
            <w:proofErr w:type="spellStart"/>
            <w:r w:rsidRPr="00BA4867">
              <w:rPr>
                <w:rFonts w:asciiTheme="minorHAnsi" w:hAnsiTheme="minorHAnsi" w:cstheme="minorHAnsi"/>
              </w:rPr>
              <w:t>failover</w:t>
            </w:r>
            <w:proofErr w:type="spellEnd"/>
            <w:r w:rsidRPr="00BA4867">
              <w:rPr>
                <w:rFonts w:asciiTheme="minorHAnsi" w:hAnsiTheme="minorHAnsi" w:cstheme="minorHAnsi"/>
              </w:rPr>
              <w:t xml:space="preserve">). Funkcjonalność „wysokiej dostępności” musi pozwalać na minimum ręczne przełączanie obsługi środowisk produkcyjnych z macierzy zapasowej na podstawową po usunięciu awarii macierzy podstawowej (tzw. </w:t>
            </w:r>
            <w:proofErr w:type="spellStart"/>
            <w:r w:rsidRPr="00BA4867">
              <w:rPr>
                <w:rFonts w:asciiTheme="minorHAnsi" w:hAnsiTheme="minorHAnsi" w:cstheme="minorHAnsi"/>
              </w:rPr>
              <w:t>failback</w:t>
            </w:r>
            <w:proofErr w:type="spellEnd"/>
            <w:r w:rsidRPr="00BA4867">
              <w:rPr>
                <w:rFonts w:asciiTheme="minorHAnsi" w:hAnsiTheme="minorHAnsi" w:cstheme="minorHAnsi"/>
              </w:rPr>
              <w:t xml:space="preserve">). Funkcjonalność „wysokiej dostępności” musi wspierać konfiguracje z macierzą zapasową zainstalowaną w innej fizycznej lokalizacji o ile nadal spełnione są warunki dla realizacji synchronicznej replikacji danych pomiędzy lokalizacjami. </w:t>
            </w:r>
          </w:p>
          <w:p w14:paraId="52350784" w14:textId="77777777" w:rsidR="00BA4867" w:rsidRPr="00BA4867" w:rsidRDefault="00BA4867" w:rsidP="00BA4867">
            <w:pPr>
              <w:spacing w:after="200" w:line="276" w:lineRule="auto"/>
              <w:ind w:left="720"/>
              <w:contextualSpacing/>
              <w:jc w:val="both"/>
              <w:rPr>
                <w:rFonts w:asciiTheme="minorHAnsi" w:hAnsiTheme="minorHAnsi" w:cstheme="minorHAnsi"/>
              </w:rPr>
            </w:pPr>
            <w:r w:rsidRPr="00BA4867">
              <w:rPr>
                <w:rFonts w:asciiTheme="minorHAnsi" w:hAnsiTheme="minorHAnsi" w:cstheme="minorHAnsi"/>
              </w:rPr>
              <w:br/>
              <w:t>Jeżeli do obsługi powyższej funkcjonalności wymagane są dodatkowe licencje, ich dostarczenie jest wymagane na tym etapie postępowania.</w:t>
            </w:r>
            <w:r w:rsidRPr="00BA4867">
              <w:rPr>
                <w:rFonts w:asciiTheme="minorHAnsi" w:hAnsiTheme="minorHAnsi" w:cstheme="minorHAnsi"/>
              </w:rPr>
              <w:br/>
            </w:r>
          </w:p>
          <w:p w14:paraId="576E345C"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Macierz musi posiadać funkcjonalność zarządzania wydajnością, która dynamicznie przydziela zasoby macierzy w celu spełnienia określonych celów wydajnościowych aplikacji (</w:t>
            </w:r>
            <w:proofErr w:type="spellStart"/>
            <w:r w:rsidRPr="00BA4867">
              <w:rPr>
                <w:rFonts w:asciiTheme="minorHAnsi" w:hAnsiTheme="minorHAnsi" w:cstheme="minorHAnsi"/>
              </w:rPr>
              <w:t>QoS</w:t>
            </w:r>
            <w:proofErr w:type="spellEnd"/>
            <w:r w:rsidRPr="00BA4867">
              <w:rPr>
                <w:rFonts w:asciiTheme="minorHAnsi" w:hAnsiTheme="minorHAnsi" w:cstheme="minorHAnsi"/>
              </w:rPr>
              <w:t>). Możliwość ustawiania priorytetów wydajności dla aplikacji w oparciu o zdefiniowane profile wolumenowe, dla wydajności w IOPS i przepustowości danych. Dostarczenie tej funkcjonalności jest wymagane na tym etapie postępowania.</w:t>
            </w:r>
          </w:p>
          <w:p w14:paraId="39DB8C5B"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36A45E38"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Wsparcie dla mechanizmów dynamicznego przełączania zadań I/O pomiędzy kanałami w przypadku awarii jednego z nich (</w:t>
            </w:r>
            <w:proofErr w:type="spellStart"/>
            <w:r w:rsidRPr="00BA4867">
              <w:rPr>
                <w:rFonts w:asciiTheme="minorHAnsi" w:hAnsiTheme="minorHAnsi" w:cstheme="minorHAnsi"/>
              </w:rPr>
              <w:t>path</w:t>
            </w:r>
            <w:proofErr w:type="spellEnd"/>
            <w:r w:rsidRPr="00BA4867">
              <w:rPr>
                <w:rFonts w:asciiTheme="minorHAnsi" w:hAnsiTheme="minorHAnsi" w:cstheme="minorHAnsi"/>
              </w:rPr>
              <w:t xml:space="preserve"> </w:t>
            </w:r>
            <w:proofErr w:type="spellStart"/>
            <w:r w:rsidRPr="00BA4867">
              <w:rPr>
                <w:rFonts w:asciiTheme="minorHAnsi" w:hAnsiTheme="minorHAnsi" w:cstheme="minorHAnsi"/>
              </w:rPr>
              <w:t>failover</w:t>
            </w:r>
            <w:proofErr w:type="spellEnd"/>
            <w:r w:rsidRPr="00BA4867">
              <w:rPr>
                <w:rFonts w:asciiTheme="minorHAnsi" w:hAnsiTheme="minorHAnsi" w:cstheme="minorHAnsi"/>
              </w:rPr>
              <w:t>). Wymagane jest wsparcie dla odpowiednich mechanizmów oferowanych przez producentów systemów operacyjnych: Windows, Vmware, Linux, których używa Zamawiający.</w:t>
            </w:r>
            <w:r w:rsidRPr="00BA4867">
              <w:rPr>
                <w:rFonts w:asciiTheme="minorHAnsi" w:hAnsiTheme="minorHAnsi" w:cstheme="minorHAnsi"/>
              </w:rPr>
              <w:br/>
            </w:r>
          </w:p>
          <w:p w14:paraId="5ABF580B"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Macierz musi posiadać wsparcie dla </w:t>
            </w:r>
            <w:proofErr w:type="spellStart"/>
            <w:r w:rsidRPr="00BA4867">
              <w:rPr>
                <w:rFonts w:asciiTheme="minorHAnsi" w:hAnsiTheme="minorHAnsi" w:cstheme="minorHAnsi"/>
              </w:rPr>
              <w:t>wielościeżkowości</w:t>
            </w:r>
            <w:proofErr w:type="spellEnd"/>
            <w:r w:rsidRPr="00BA4867">
              <w:rPr>
                <w:rFonts w:asciiTheme="minorHAnsi" w:hAnsiTheme="minorHAnsi" w:cstheme="minorHAnsi"/>
              </w:rPr>
              <w:t xml:space="preserve"> dla systemów Windows Server 2016/2019, Vmware 7.x, Vmware 8.x, </w:t>
            </w:r>
            <w:proofErr w:type="spellStart"/>
            <w:r w:rsidRPr="00BA4867">
              <w:rPr>
                <w:rFonts w:asciiTheme="minorHAnsi" w:hAnsiTheme="minorHAnsi" w:cstheme="minorHAnsi"/>
              </w:rPr>
              <w:t>CentOS</w:t>
            </w:r>
            <w:proofErr w:type="spellEnd"/>
            <w:r w:rsidRPr="00BA4867">
              <w:rPr>
                <w:rFonts w:asciiTheme="minorHAnsi" w:hAnsiTheme="minorHAnsi" w:cstheme="minorHAnsi"/>
              </w:rPr>
              <w:t>, których używa Zamawiający.</w:t>
            </w:r>
            <w:r w:rsidRPr="00BA4867">
              <w:rPr>
                <w:rFonts w:asciiTheme="minorHAnsi" w:hAnsiTheme="minorHAnsi" w:cstheme="minorHAnsi"/>
              </w:rPr>
              <w:br/>
            </w:r>
          </w:p>
          <w:p w14:paraId="79A185B2"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Wymagane uaktualnianie </w:t>
            </w:r>
            <w:proofErr w:type="spellStart"/>
            <w:r w:rsidRPr="00BA4867">
              <w:rPr>
                <w:rFonts w:asciiTheme="minorHAnsi" w:hAnsiTheme="minorHAnsi" w:cstheme="minorHAnsi"/>
              </w:rPr>
              <w:t>firmware</w:t>
            </w:r>
            <w:proofErr w:type="spellEnd"/>
            <w:r w:rsidRPr="00BA4867">
              <w:rPr>
                <w:rFonts w:asciiTheme="minorHAnsi" w:hAnsiTheme="minorHAnsi" w:cstheme="minorHAnsi"/>
              </w:rPr>
              <w:t>-u kontrolerów macierzy bez przerywania dostępu do danych.</w:t>
            </w:r>
          </w:p>
          <w:p w14:paraId="4492E67D" w14:textId="77777777" w:rsidR="00BA4867" w:rsidRPr="00BA4867" w:rsidRDefault="00BA4867" w:rsidP="00BA4867">
            <w:pPr>
              <w:spacing w:after="200" w:line="276" w:lineRule="auto"/>
              <w:jc w:val="both"/>
              <w:rPr>
                <w:rFonts w:asciiTheme="minorHAnsi" w:hAnsiTheme="minorHAnsi" w:cstheme="minorHAnsi"/>
              </w:rPr>
            </w:pPr>
          </w:p>
          <w:p w14:paraId="52A127BE"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Urządzenie  musi  być  fabrycznie  nowe,  wyprodukowane  nie  wcześniej  niż  6  miesięcy przed  datą  dostarczenia  do  Zamawiającego  i  pochodzić  z autoryzowanego kanału dystrybucji producenta, a także musi być objęte serwisem producenta  na terenie RP. </w:t>
            </w:r>
          </w:p>
          <w:p w14:paraId="0B7E982A"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12A04B91"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Macierz dyskowa musi zostać objęta minimum 3 letnim okresem gwarancji producenta z gwarantowanym czasem reakcji najpóźniej w następnym dniu roboczym od momentu zgłoszenia usterki. Zamawiający dopuszcza realizacje gwarancji przez autoryzowanego partnera serwisowego producenta.</w:t>
            </w:r>
          </w:p>
          <w:p w14:paraId="2A7FB805" w14:textId="77777777" w:rsidR="00BA4867" w:rsidRPr="00BA4867" w:rsidRDefault="00BA4867" w:rsidP="00BA4867">
            <w:pPr>
              <w:spacing w:after="200" w:line="276" w:lineRule="auto"/>
              <w:ind w:left="720"/>
              <w:contextualSpacing/>
              <w:jc w:val="both"/>
              <w:rPr>
                <w:rFonts w:asciiTheme="minorHAnsi" w:hAnsiTheme="minorHAnsi" w:cstheme="minorHAnsi"/>
              </w:rPr>
            </w:pPr>
          </w:p>
          <w:p w14:paraId="00C35017"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Zgłoszenia usterek muszą być akceptowane zarówno drogą email (w ofercie należy podać dedykowany adres email do zgłoszeń serwisowych) jak również drogą telefoniczną (ogólnie dostępna linia telefoniczna, kontakt w języku polskim, linia telefoniczna w polskiej strefie numeracyjnej - telefon stacjonarny. Nie dopuszcza się numerów specjalnych, komórkowych, o podwyższonej płatności itp.). </w:t>
            </w:r>
          </w:p>
          <w:p w14:paraId="5FE445A4" w14:textId="77777777" w:rsidR="00BA4867" w:rsidRPr="00BA4867" w:rsidRDefault="00BA4867" w:rsidP="00BA4867">
            <w:pPr>
              <w:spacing w:after="200" w:line="276" w:lineRule="auto"/>
              <w:jc w:val="both"/>
              <w:rPr>
                <w:rFonts w:asciiTheme="minorHAnsi" w:hAnsiTheme="minorHAnsi" w:cstheme="minorHAnsi"/>
              </w:rPr>
            </w:pPr>
          </w:p>
          <w:p w14:paraId="535082C3" w14:textId="77777777" w:rsidR="00BA4867" w:rsidRPr="00BA4867" w:rsidRDefault="00BA4867" w:rsidP="00BA4867">
            <w:pPr>
              <w:numPr>
                <w:ilvl w:val="0"/>
                <w:numId w:val="19"/>
              </w:numPr>
              <w:spacing w:after="200" w:line="276" w:lineRule="auto"/>
              <w:contextualSpacing/>
              <w:jc w:val="both"/>
              <w:rPr>
                <w:rFonts w:asciiTheme="minorHAnsi" w:hAnsiTheme="minorHAnsi" w:cstheme="minorHAnsi"/>
              </w:rPr>
            </w:pPr>
            <w:r w:rsidRPr="00BA4867">
              <w:rPr>
                <w:rFonts w:asciiTheme="minorHAnsi" w:hAnsiTheme="minorHAnsi" w:cstheme="minorHAnsi"/>
              </w:rPr>
              <w:t>Wymagane jest, aby gwarancja świadczona była z zachowaniem poniższych warunków:</w:t>
            </w:r>
          </w:p>
          <w:p w14:paraId="52B56481" w14:textId="77777777" w:rsidR="00BA4867" w:rsidRPr="00BA4867" w:rsidRDefault="00BA4867" w:rsidP="00BA4867">
            <w:pPr>
              <w:numPr>
                <w:ilvl w:val="0"/>
                <w:numId w:val="23"/>
              </w:numPr>
              <w:spacing w:after="200" w:line="276" w:lineRule="auto"/>
              <w:contextualSpacing/>
              <w:jc w:val="both"/>
              <w:rPr>
                <w:rFonts w:asciiTheme="minorHAnsi" w:hAnsiTheme="minorHAnsi" w:cstheme="minorHAnsi"/>
              </w:rPr>
            </w:pPr>
            <w:r w:rsidRPr="00BA4867">
              <w:rPr>
                <w:rFonts w:asciiTheme="minorHAnsi" w:hAnsiTheme="minorHAnsi" w:cstheme="minorHAnsi"/>
              </w:rPr>
              <w:lastRenderedPageBreak/>
              <w:t xml:space="preserve">bezpłatna możliwość aktualizacje </w:t>
            </w:r>
            <w:proofErr w:type="spellStart"/>
            <w:r w:rsidRPr="00BA4867">
              <w:rPr>
                <w:rFonts w:asciiTheme="minorHAnsi" w:hAnsiTheme="minorHAnsi" w:cstheme="minorHAnsi"/>
              </w:rPr>
              <w:t>firmware</w:t>
            </w:r>
            <w:proofErr w:type="spellEnd"/>
            <w:r w:rsidRPr="00BA4867">
              <w:rPr>
                <w:rFonts w:asciiTheme="minorHAnsi" w:hAnsiTheme="minorHAnsi" w:cstheme="minorHAnsi"/>
              </w:rPr>
              <w:t>;</w:t>
            </w:r>
          </w:p>
          <w:p w14:paraId="13DD97C3" w14:textId="77777777" w:rsidR="00BA4867" w:rsidRPr="00BA4867" w:rsidRDefault="00BA4867" w:rsidP="00BA4867">
            <w:pPr>
              <w:numPr>
                <w:ilvl w:val="0"/>
                <w:numId w:val="22"/>
              </w:numPr>
              <w:spacing w:after="200" w:line="276" w:lineRule="auto"/>
              <w:contextualSpacing/>
              <w:jc w:val="both"/>
              <w:rPr>
                <w:rFonts w:asciiTheme="minorHAnsi" w:hAnsiTheme="minorHAnsi" w:cstheme="minorHAnsi"/>
              </w:rPr>
            </w:pPr>
            <w:r w:rsidRPr="00BA4867">
              <w:rPr>
                <w:rFonts w:asciiTheme="minorHAnsi" w:hAnsiTheme="minorHAnsi" w:cstheme="minorHAnsi"/>
              </w:rPr>
              <w:t>dostęp do bazy wiedzy producenta w zakresie dostarczanych urządzeń;</w:t>
            </w:r>
          </w:p>
          <w:p w14:paraId="3713C0B9" w14:textId="77777777" w:rsidR="00BA4867" w:rsidRPr="00BA4867" w:rsidRDefault="00BA4867" w:rsidP="00BA4867">
            <w:pPr>
              <w:numPr>
                <w:ilvl w:val="0"/>
                <w:numId w:val="21"/>
              </w:numPr>
              <w:spacing w:after="200" w:line="276" w:lineRule="auto"/>
              <w:contextualSpacing/>
              <w:jc w:val="both"/>
              <w:rPr>
                <w:rFonts w:asciiTheme="minorHAnsi" w:hAnsiTheme="minorHAnsi" w:cstheme="minorHAnsi"/>
              </w:rPr>
            </w:pPr>
            <w:r w:rsidRPr="00BA4867">
              <w:rPr>
                <w:rFonts w:asciiTheme="minorHAnsi" w:hAnsiTheme="minorHAnsi" w:cstheme="minorHAnsi"/>
              </w:rPr>
              <w:t xml:space="preserve">dostęp do centrum pomocy technicznej producenta; </w:t>
            </w:r>
          </w:p>
          <w:p w14:paraId="0BD54B7B" w14:textId="77777777" w:rsidR="00BA4867" w:rsidRPr="00BA4867" w:rsidRDefault="00BA4867" w:rsidP="00BA4867">
            <w:pPr>
              <w:numPr>
                <w:ilvl w:val="0"/>
                <w:numId w:val="21"/>
              </w:numPr>
              <w:spacing w:after="200" w:line="276" w:lineRule="auto"/>
              <w:contextualSpacing/>
              <w:jc w:val="both"/>
              <w:rPr>
                <w:rFonts w:asciiTheme="minorHAnsi" w:hAnsiTheme="minorHAnsi" w:cstheme="minorHAnsi"/>
              </w:rPr>
            </w:pPr>
            <w:r w:rsidRPr="00BA4867">
              <w:rPr>
                <w:rFonts w:asciiTheme="minorHAnsi" w:hAnsiTheme="minorHAnsi" w:cstheme="minorHAnsi"/>
              </w:rPr>
              <w:t>otwieranie zgłoszeń serwisowych w przypadku podejrzenia możliwości błędu w oprogramowaniu/hardware;</w:t>
            </w:r>
          </w:p>
          <w:p w14:paraId="10BD7219" w14:textId="77777777" w:rsidR="00BA4867" w:rsidRPr="00BA4867" w:rsidRDefault="00BA4867" w:rsidP="00BA4867">
            <w:pPr>
              <w:numPr>
                <w:ilvl w:val="0"/>
                <w:numId w:val="20"/>
              </w:numPr>
              <w:spacing w:after="200" w:line="276" w:lineRule="auto"/>
              <w:contextualSpacing/>
              <w:jc w:val="both"/>
              <w:rPr>
                <w:rFonts w:asciiTheme="minorHAnsi" w:hAnsiTheme="minorHAnsi" w:cstheme="minorHAnsi"/>
              </w:rPr>
            </w:pPr>
            <w:r w:rsidRPr="00BA4867">
              <w:rPr>
                <w:rFonts w:asciiTheme="minorHAnsi" w:hAnsiTheme="minorHAnsi" w:cstheme="minorHAnsi"/>
              </w:rPr>
              <w:t>otrzymywanie poprawek oraz aktualizacji wersji oprogramowania dostarczonego wraz z macierzą oraz oprogramowania wewnętrznego macierzy.</w:t>
            </w:r>
          </w:p>
        </w:tc>
      </w:tr>
    </w:tbl>
    <w:p w14:paraId="7001965A" w14:textId="77777777" w:rsidR="00BA4867" w:rsidRPr="00BA4867" w:rsidRDefault="00BA4867" w:rsidP="00BA4867">
      <w:pPr>
        <w:spacing w:after="200" w:line="276" w:lineRule="auto"/>
        <w:jc w:val="both"/>
        <w:rPr>
          <w:rFonts w:asciiTheme="minorHAnsi" w:eastAsiaTheme="minorHAnsi" w:hAnsiTheme="minorHAnsi" w:cstheme="minorHAnsi"/>
          <w:lang w:eastAsia="en-US"/>
        </w:rPr>
      </w:pPr>
    </w:p>
    <w:p w14:paraId="18CF9F55" w14:textId="286F8F6D" w:rsidR="004509AD" w:rsidRPr="00116F6D" w:rsidRDefault="007B0F45" w:rsidP="004509AD">
      <w:pPr>
        <w:spacing w:before="60" w:after="60"/>
        <w:ind w:left="30" w:right="-72"/>
        <w:rPr>
          <w:b/>
          <w:bCs/>
          <w:sz w:val="22"/>
          <w:szCs w:val="22"/>
        </w:rPr>
      </w:pPr>
      <w:r w:rsidRPr="00116F6D">
        <w:rPr>
          <w:b/>
          <w:bCs/>
          <w:sz w:val="22"/>
          <w:szCs w:val="22"/>
        </w:rPr>
        <w:t>Pytanie nr 4</w:t>
      </w:r>
      <w:r w:rsidR="004509AD" w:rsidRPr="00116F6D">
        <w:rPr>
          <w:b/>
          <w:bCs/>
          <w:sz w:val="22"/>
          <w:szCs w:val="22"/>
        </w:rPr>
        <w:br/>
      </w:r>
      <w:r w:rsidR="004509AD" w:rsidRPr="00116F6D">
        <w:rPr>
          <w:sz w:val="22"/>
          <w:szCs w:val="22"/>
        </w:rPr>
        <w:t>Wyjaśnienia z dnia 31.07.2023 - odp. Pytanie 304.</w:t>
      </w:r>
      <w:r w:rsidR="00BA4867">
        <w:rPr>
          <w:sz w:val="22"/>
          <w:szCs w:val="22"/>
        </w:rPr>
        <w:t xml:space="preserve"> </w:t>
      </w:r>
      <w:r w:rsidR="004509AD" w:rsidRPr="00116F6D">
        <w:rPr>
          <w:sz w:val="22"/>
          <w:szCs w:val="22"/>
        </w:rPr>
        <w:t>Załącznik nr 4 do SWZ – Wzór umowy, § 7 ust. 10 oraz § 3 ust. 10 wzoru umowy. Prosimy o uzupełnienie OPZ o precyzyjny opis przedmiotu zamówienia w zakresie dostaw i oprogramowania oraz dokładny opis Infrastruktury Zamawiającego, a także odpowiednie skorygowanie postanowień umowy stosownie do zmian w OPZ. W szczególności wnosimy o przekazanie szczegółowych danych dotyczących infrastruktury udostępnionej wykonawcy przez Zamawiającego do realizacji umowy każdorazowo z informacją czy wymaga jej rozbudowy, bądź uzupełniania (a jeśli tak, to w jakim zakresie), w tym:</w:t>
      </w:r>
    </w:p>
    <w:p w14:paraId="70204BEE" w14:textId="77777777" w:rsidR="004509AD" w:rsidRPr="00116F6D" w:rsidRDefault="004509AD" w:rsidP="004509AD">
      <w:pPr>
        <w:pStyle w:val="Akapitzlist"/>
        <w:numPr>
          <w:ilvl w:val="0"/>
          <w:numId w:val="11"/>
        </w:numPr>
        <w:jc w:val="both"/>
        <w:rPr>
          <w:rFonts w:ascii="Times New Roman" w:hAnsi="Times New Roman" w:cs="Times New Roman"/>
        </w:rPr>
      </w:pPr>
      <w:r w:rsidRPr="00116F6D">
        <w:rPr>
          <w:rFonts w:ascii="Times New Roman" w:hAnsi="Times New Roman" w:cs="Times New Roman"/>
        </w:rPr>
        <w:t xml:space="preserve">ilości i parametry alternatywnych (jeżeli zamawiający je posiada i udostępni) serwerów wraz z określeniem oprogramowania systemowego oraz ich roli (serwer bazy danych, serwer aplikacyjny, serwer dla wirtualizacji, serwer backup itp.), </w:t>
      </w:r>
    </w:p>
    <w:p w14:paraId="220DD150" w14:textId="77777777" w:rsidR="004509AD" w:rsidRPr="00116F6D" w:rsidRDefault="004509AD" w:rsidP="004509AD">
      <w:pPr>
        <w:pStyle w:val="Akapitzlist"/>
        <w:numPr>
          <w:ilvl w:val="0"/>
          <w:numId w:val="11"/>
        </w:numPr>
        <w:jc w:val="both"/>
        <w:rPr>
          <w:rFonts w:ascii="Times New Roman" w:hAnsi="Times New Roman" w:cs="Times New Roman"/>
        </w:rPr>
      </w:pPr>
      <w:r w:rsidRPr="00116F6D">
        <w:rPr>
          <w:rFonts w:ascii="Times New Roman" w:hAnsi="Times New Roman" w:cs="Times New Roman"/>
        </w:rPr>
        <w:t xml:space="preserve">zastosowane rozwiązania witalizacyjne (rodzaj technologii, wykorzystany sprzęt), </w:t>
      </w:r>
    </w:p>
    <w:p w14:paraId="0723BA9D" w14:textId="77777777" w:rsidR="004509AD" w:rsidRPr="00116F6D" w:rsidRDefault="004509AD" w:rsidP="004509AD">
      <w:pPr>
        <w:pStyle w:val="Akapitzlist"/>
        <w:numPr>
          <w:ilvl w:val="0"/>
          <w:numId w:val="11"/>
        </w:numPr>
        <w:jc w:val="both"/>
        <w:rPr>
          <w:rFonts w:ascii="Times New Roman" w:hAnsi="Times New Roman" w:cs="Times New Roman"/>
        </w:rPr>
      </w:pPr>
      <w:r w:rsidRPr="00116F6D">
        <w:rPr>
          <w:rFonts w:ascii="Times New Roman" w:hAnsi="Times New Roman" w:cs="Times New Roman"/>
        </w:rPr>
        <w:t xml:space="preserve">ilość i rodzaj licencji silników baz danych, </w:t>
      </w:r>
    </w:p>
    <w:p w14:paraId="00BAD6A1" w14:textId="77777777" w:rsidR="004509AD" w:rsidRPr="00116F6D" w:rsidRDefault="004509AD" w:rsidP="004509AD">
      <w:pPr>
        <w:pStyle w:val="Akapitzlist"/>
        <w:numPr>
          <w:ilvl w:val="0"/>
          <w:numId w:val="11"/>
        </w:numPr>
        <w:jc w:val="both"/>
        <w:rPr>
          <w:rFonts w:ascii="Times New Roman" w:hAnsi="Times New Roman" w:cs="Times New Roman"/>
        </w:rPr>
      </w:pPr>
      <w:r w:rsidRPr="00116F6D">
        <w:rPr>
          <w:rFonts w:ascii="Times New Roman" w:hAnsi="Times New Roman" w:cs="Times New Roman"/>
        </w:rPr>
        <w:t xml:space="preserve">ilości i parametry stacji roboczych/terminali wraz z określeniem oprogramowania systemowego, </w:t>
      </w:r>
    </w:p>
    <w:p w14:paraId="1AC89DCE" w14:textId="77777777" w:rsidR="004509AD" w:rsidRPr="00116F6D" w:rsidRDefault="004509AD" w:rsidP="004509AD">
      <w:pPr>
        <w:pStyle w:val="Akapitzlist"/>
        <w:numPr>
          <w:ilvl w:val="0"/>
          <w:numId w:val="11"/>
        </w:numPr>
        <w:jc w:val="both"/>
        <w:rPr>
          <w:rFonts w:ascii="Times New Roman" w:hAnsi="Times New Roman" w:cs="Times New Roman"/>
        </w:rPr>
      </w:pPr>
      <w:r w:rsidRPr="00116F6D">
        <w:rPr>
          <w:rFonts w:ascii="Times New Roman" w:hAnsi="Times New Roman" w:cs="Times New Roman"/>
        </w:rPr>
        <w:t xml:space="preserve">ilości wolnego miejsca w szafach serwerowych, </w:t>
      </w:r>
    </w:p>
    <w:p w14:paraId="1D5AADF9" w14:textId="77777777" w:rsidR="004509AD" w:rsidRPr="00116F6D" w:rsidRDefault="004509AD" w:rsidP="004509AD">
      <w:pPr>
        <w:jc w:val="both"/>
        <w:rPr>
          <w:sz w:val="22"/>
          <w:szCs w:val="22"/>
        </w:rPr>
      </w:pPr>
      <w:r w:rsidRPr="00116F6D">
        <w:rPr>
          <w:sz w:val="22"/>
          <w:szCs w:val="22"/>
        </w:rPr>
        <w:t xml:space="preserve">a ponadto wskazania, czy wykonawca musi dostarczać (a jeśli tak, to w jakich ilościach i o jakich parametrach): </w:t>
      </w:r>
    </w:p>
    <w:p w14:paraId="3AD0E909"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stacje robocze/terminale, </w:t>
      </w:r>
    </w:p>
    <w:p w14:paraId="7B88C99B"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czytniki kodów, </w:t>
      </w:r>
    </w:p>
    <w:p w14:paraId="49AB44D5"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czytniki podpisów elektronicznych, </w:t>
      </w:r>
    </w:p>
    <w:p w14:paraId="4A7C6D3B"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czytniki dowodów elektronicznych, </w:t>
      </w:r>
    </w:p>
    <w:p w14:paraId="22773FB6"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inne elementy peryferyjne, </w:t>
      </w:r>
    </w:p>
    <w:p w14:paraId="53D3E356"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elementy sieci aktywnej/pasywnej, </w:t>
      </w:r>
    </w:p>
    <w:p w14:paraId="02C53941"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zasilacze UPS, agregaty, </w:t>
      </w:r>
    </w:p>
    <w:p w14:paraId="63323260"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 xml:space="preserve">serwerownię, elementy chłodzenia pomieszczeń serwerowych, inne elementy jej wyposażenia </w:t>
      </w:r>
    </w:p>
    <w:p w14:paraId="17C37CD3"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urządzenia diagnostyczne lub medyczne.</w:t>
      </w:r>
    </w:p>
    <w:p w14:paraId="41985D01" w14:textId="77777777" w:rsidR="004509AD" w:rsidRPr="00116F6D" w:rsidRDefault="004509AD" w:rsidP="004509AD">
      <w:pPr>
        <w:jc w:val="both"/>
        <w:rPr>
          <w:sz w:val="22"/>
          <w:szCs w:val="22"/>
        </w:rPr>
      </w:pPr>
      <w:r w:rsidRPr="00116F6D">
        <w:rPr>
          <w:sz w:val="22"/>
          <w:szCs w:val="22"/>
        </w:rPr>
        <w:t>Brak podania informacji na temat infrastruktury może oznaczać konieczność zbudowania pełnej infrastruktury IT w Szpitalu. Brak podania szczegółowych informacji na temat infrastruktury posiadanej przez Zamawiającego prowadzi do wniosku, że Wykonawca nigdy nie będzie miał pewności czy uwzględnił wszystkie konieczne elementy w ofercie.</w:t>
      </w:r>
    </w:p>
    <w:p w14:paraId="0D34CB9A" w14:textId="77777777" w:rsidR="004509AD" w:rsidRPr="00116F6D" w:rsidRDefault="004509AD" w:rsidP="004509AD">
      <w:pPr>
        <w:jc w:val="both"/>
        <w:rPr>
          <w:sz w:val="22"/>
          <w:szCs w:val="22"/>
        </w:rPr>
      </w:pPr>
      <w:r w:rsidRPr="00116F6D">
        <w:rPr>
          <w:sz w:val="22"/>
          <w:szCs w:val="22"/>
        </w:rPr>
        <w:t>ODP: Zamawiający nie znając technologii, wymagań sprzętowych oraz oczekiwań dla poszczególnych dostawców nie jest w stanie określić na tym etapie postępowania możliwości udostępnienia infrastruktury Zamawiającego z powodu braku wiedzy o wymaganiach każdego z potencjalnych Wykonawców. Dlatego też, Zamawiający przewidział etap Analizy przedwdrożeniowej podczas którego z wybranym Wykonawcą zostaną indywidualnie określone możliwości Zamawiającego w nawiązaniu do zdefiniowanych potrzeb Wykonawcy.</w:t>
      </w:r>
    </w:p>
    <w:p w14:paraId="3D739D6D" w14:textId="77777777" w:rsidR="004509AD" w:rsidRPr="00116F6D" w:rsidRDefault="004509AD" w:rsidP="004509AD">
      <w:pPr>
        <w:jc w:val="both"/>
        <w:rPr>
          <w:sz w:val="22"/>
          <w:szCs w:val="22"/>
        </w:rPr>
      </w:pPr>
      <w:r w:rsidRPr="00116F6D">
        <w:rPr>
          <w:sz w:val="22"/>
          <w:szCs w:val="22"/>
        </w:rPr>
        <w:t xml:space="preserve">Należy też zwrócić szczególną uwagę na aspekt związany z bezpieczeństwem teleinformatycznym - Zamawiający jako Operator Usług Kluczowych w rozumieniu Ustawy z dnia 5 lipca 2018 r. o krajowym systemie </w:t>
      </w:r>
      <w:proofErr w:type="spellStart"/>
      <w:r w:rsidRPr="00116F6D">
        <w:rPr>
          <w:sz w:val="22"/>
          <w:szCs w:val="22"/>
        </w:rPr>
        <w:t>cyberbezpieczeństwa</w:t>
      </w:r>
      <w:proofErr w:type="spellEnd"/>
      <w:r w:rsidRPr="00116F6D">
        <w:rPr>
          <w:sz w:val="22"/>
          <w:szCs w:val="22"/>
        </w:rPr>
        <w:t xml:space="preserve"> (</w:t>
      </w:r>
      <w:proofErr w:type="spellStart"/>
      <w:r w:rsidRPr="00116F6D">
        <w:rPr>
          <w:sz w:val="22"/>
          <w:szCs w:val="22"/>
        </w:rPr>
        <w:t>t.j</w:t>
      </w:r>
      <w:proofErr w:type="spellEnd"/>
      <w:r w:rsidRPr="00116F6D">
        <w:rPr>
          <w:sz w:val="22"/>
          <w:szCs w:val="22"/>
        </w:rPr>
        <w:t xml:space="preserve">. Dz. U. z 2023 r. poz. 913) musi zwracać szczególną uwagę na </w:t>
      </w:r>
      <w:r w:rsidRPr="00116F6D">
        <w:rPr>
          <w:sz w:val="22"/>
          <w:szCs w:val="22"/>
        </w:rPr>
        <w:lastRenderedPageBreak/>
        <w:t xml:space="preserve">ochronę danych medycznych, a udostępnienie w Internecie w dokumencie OPZ szczegółowego opisu infrastruktury Zamawiającego,  metod i sposobów zabezpieczeń wynikających z zastosowanego sprzętu i rozwiązań technicznych naraża Zamawiającego na spersonalizowany i dedykowany atak na podatności, które mogą pojawić się lub pojawiają się w konkretnych rozwiązaniach technicznych. Jedną z podstawowych zasad </w:t>
      </w:r>
      <w:proofErr w:type="spellStart"/>
      <w:r w:rsidRPr="00116F6D">
        <w:rPr>
          <w:sz w:val="22"/>
          <w:szCs w:val="22"/>
        </w:rPr>
        <w:t>cyberbezpiczeństwa</w:t>
      </w:r>
      <w:proofErr w:type="spellEnd"/>
      <w:r w:rsidRPr="00116F6D">
        <w:rPr>
          <w:sz w:val="22"/>
          <w:szCs w:val="22"/>
        </w:rPr>
        <w:t xml:space="preserve"> jest ograniczenie informacji o infrastrukturze tak żeby maksymalnie utrudnić a wręcz uniemożliwić potencjalny atak. </w:t>
      </w:r>
      <w:proofErr w:type="spellStart"/>
      <w:r w:rsidRPr="00116F6D">
        <w:rPr>
          <w:sz w:val="22"/>
          <w:szCs w:val="22"/>
        </w:rPr>
        <w:t>Cyberbezpieczeństwo</w:t>
      </w:r>
      <w:proofErr w:type="spellEnd"/>
      <w:r w:rsidRPr="00116F6D">
        <w:rPr>
          <w:sz w:val="22"/>
          <w:szCs w:val="22"/>
        </w:rPr>
        <w:t xml:space="preserve"> w ochronie zdrowia jest jednym z kluczowych aspektów bezpieczeństwa  - szczególnie w zakresie Operatorów Usług Kluczowych jakim jest Zamawiający. Dlatego też, zgodnie ze swoją wiedza Zamawiający udzielił niezbędnych informacji które Wykonawca jest w stanie wykorzystać do przygotowania oferty ze szczególnym uwzględnieniem obecnej infrastruktury wykorzystywanej w środowisku informatycznym dla usług medycznych oraz dodatkowego sprzętu np. komputery, punkty dostępowe </w:t>
      </w:r>
      <w:proofErr w:type="spellStart"/>
      <w:r w:rsidRPr="00116F6D">
        <w:rPr>
          <w:sz w:val="22"/>
          <w:szCs w:val="22"/>
        </w:rPr>
        <w:t>WiFi</w:t>
      </w:r>
      <w:proofErr w:type="spellEnd"/>
      <w:r w:rsidRPr="00116F6D">
        <w:rPr>
          <w:sz w:val="22"/>
          <w:szCs w:val="22"/>
        </w:rPr>
        <w:t xml:space="preserve"> itp. których to dostawy Zamawiający oczekuje w ramach niniejszego postępowania.</w:t>
      </w:r>
    </w:p>
    <w:p w14:paraId="176B2735" w14:textId="77777777" w:rsidR="004509AD" w:rsidRPr="00116F6D" w:rsidRDefault="004509AD" w:rsidP="004509AD">
      <w:pPr>
        <w:jc w:val="both"/>
        <w:rPr>
          <w:b/>
          <w:bCs/>
          <w:sz w:val="22"/>
          <w:szCs w:val="22"/>
        </w:rPr>
      </w:pPr>
      <w:r w:rsidRPr="00116F6D">
        <w:rPr>
          <w:b/>
          <w:bCs/>
          <w:sz w:val="22"/>
          <w:szCs w:val="22"/>
        </w:rPr>
        <w:t>Wykonawca ponownie wskazuje, że nie może złożyć oświadczenia przewidzianego w §7 ust. 10 poniżej bez świadomości co przekaże mu na poczet realizacji umowy Zamawiający. Dla zobrazowania skali problemy Wykonawca wskazuje, że zamawiający nabywa system dla 600 użytkowników a kupuje tylko kilkanaście komputerów plus 20 terminali.</w:t>
      </w:r>
    </w:p>
    <w:p w14:paraId="04CBD01C" w14:textId="77777777" w:rsidR="004509AD" w:rsidRPr="00116F6D" w:rsidRDefault="004509AD" w:rsidP="004509AD">
      <w:pPr>
        <w:jc w:val="both"/>
        <w:rPr>
          <w:b/>
          <w:bCs/>
          <w:sz w:val="22"/>
          <w:szCs w:val="22"/>
        </w:rPr>
      </w:pPr>
      <w:r w:rsidRPr="00116F6D">
        <w:rPr>
          <w:b/>
          <w:bCs/>
          <w:sz w:val="22"/>
          <w:szCs w:val="22"/>
        </w:rPr>
        <w:t>§7 ust. 10: Wykonawca oświadcza, że nabywana przez Zamawiającego infrastruktura jest wystarczająca do wykonania i korzystania z Systemu, co najmniej do upływu okresu udzielonej gwarancji, bez dodatkowych kosztów po stronie Zamawiającego.</w:t>
      </w:r>
    </w:p>
    <w:p w14:paraId="19FB69F6" w14:textId="77777777" w:rsidR="004509AD" w:rsidRPr="00116F6D" w:rsidRDefault="004509AD" w:rsidP="004509AD">
      <w:pPr>
        <w:jc w:val="both"/>
        <w:rPr>
          <w:b/>
          <w:bCs/>
          <w:sz w:val="22"/>
          <w:szCs w:val="22"/>
        </w:rPr>
      </w:pPr>
      <w:r w:rsidRPr="00116F6D">
        <w:rPr>
          <w:b/>
          <w:bCs/>
          <w:sz w:val="22"/>
          <w:szCs w:val="22"/>
        </w:rPr>
        <w:t>Mając na uwadze powyższe wnosimy o usunięcie tego postanowienia umowy lub przekazanie informacji wnioskowanych w pytaniu 304 lub potwierdzenie, że przekazane przez Zamawiającego do wykonania świadczenia Wykonawcę spełniają parametry techniczne systemów operacyjnych i przeglądarek internetowych w wersjach wpieranych przez ich producentów, oraz Zamawiający dysponuje pozostałymi urządzeniem koniecznymi spełnienia postawionych przez siebie w OPZ wymogów, wobec czego Wykonawca nie jest zobowiązany do uwzględnienie w ofercie kosztów:</w:t>
      </w:r>
    </w:p>
    <w:p w14:paraId="5D1CC726"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dodatkowych stacji roboczych roboczych/terminali poza jawnie wymienionymi w OPZ</w:t>
      </w:r>
    </w:p>
    <w:p w14:paraId="3410F344"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czytników kodów kreskowych, </w:t>
      </w:r>
    </w:p>
    <w:p w14:paraId="09515837"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czytników podpisów elektronicznych, </w:t>
      </w:r>
    </w:p>
    <w:p w14:paraId="10B1E7A9"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czytników dowodów osobistych </w:t>
      </w:r>
    </w:p>
    <w:p w14:paraId="14110248"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drukarek oraz innych elementów peryferyjnych poza jawnie przewidzianymi w OPZ </w:t>
      </w:r>
    </w:p>
    <w:p w14:paraId="6B914D5C"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elementów sieci aktywnej/pasywnej poza jawnie przewidzianymi w OPZ</w:t>
      </w:r>
    </w:p>
    <w:p w14:paraId="4051AE05"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zasilaczy UPS, </w:t>
      </w:r>
    </w:p>
    <w:p w14:paraId="188DC95D"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elementów chłodzenia pomieszczeń serwerowych bądź innych elementów wyposażenia serwerowni, </w:t>
      </w:r>
    </w:p>
    <w:p w14:paraId="1272BC92" w14:textId="77777777" w:rsidR="004509AD" w:rsidRPr="00116F6D" w:rsidRDefault="004509AD" w:rsidP="004509AD">
      <w:pPr>
        <w:pStyle w:val="Akapitzlist"/>
        <w:numPr>
          <w:ilvl w:val="0"/>
          <w:numId w:val="10"/>
        </w:numPr>
        <w:jc w:val="both"/>
        <w:rPr>
          <w:rFonts w:ascii="Times New Roman" w:hAnsi="Times New Roman" w:cs="Times New Roman"/>
          <w:b/>
          <w:bCs/>
        </w:rPr>
      </w:pPr>
      <w:r w:rsidRPr="00116F6D">
        <w:rPr>
          <w:rFonts w:ascii="Times New Roman" w:hAnsi="Times New Roman" w:cs="Times New Roman"/>
          <w:b/>
          <w:bCs/>
        </w:rPr>
        <w:t xml:space="preserve">urządzeń diagnostycznych. </w:t>
      </w:r>
    </w:p>
    <w:p w14:paraId="65904770" w14:textId="6249F5EC"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FF1C7D">
        <w:rPr>
          <w:b/>
          <w:bCs/>
          <w:sz w:val="22"/>
          <w:szCs w:val="22"/>
        </w:rPr>
        <w:t xml:space="preserve"> </w:t>
      </w:r>
      <w:r w:rsidR="00FF1C7D" w:rsidRPr="00FF1C7D">
        <w:rPr>
          <w:sz w:val="22"/>
          <w:szCs w:val="22"/>
        </w:rPr>
        <w:t>Zamawiający wyjaśnia że oczekuje od Wykonawcy dostarczanie elementów określonych w OPZ z zastrzeżeniem że ZSI wdrażany przez Wykonawcę będzie współpracował ze standardowymi narzędziami informatycznymi wykorzystywanymi w Szpitalach np. komputery stacjonarne itp. a jakiekolwiek niestandardowe i ponadnormatywne wymagania sprzętowe niezbędne pracy na ZSI oferowanym przez Wykonawcę obciążają Wykonawcę.</w:t>
      </w:r>
    </w:p>
    <w:p w14:paraId="40D6F9F4" w14:textId="7551B55D" w:rsidR="004509AD" w:rsidRPr="00833948" w:rsidRDefault="007B0F45" w:rsidP="00833948">
      <w:pPr>
        <w:spacing w:before="60" w:after="60"/>
        <w:ind w:left="30" w:right="-72"/>
        <w:rPr>
          <w:b/>
          <w:bCs/>
          <w:sz w:val="24"/>
          <w:szCs w:val="24"/>
        </w:rPr>
      </w:pPr>
      <w:r w:rsidRPr="00116F6D">
        <w:rPr>
          <w:b/>
          <w:bCs/>
          <w:sz w:val="22"/>
          <w:szCs w:val="22"/>
        </w:rPr>
        <w:br/>
        <w:t>Pytanie nr 5</w:t>
      </w:r>
      <w:r w:rsidR="00833948">
        <w:rPr>
          <w:b/>
          <w:bCs/>
          <w:sz w:val="22"/>
          <w:szCs w:val="22"/>
        </w:rPr>
        <w:br/>
      </w:r>
      <w:r w:rsidR="004509AD" w:rsidRPr="00833948">
        <w:rPr>
          <w:sz w:val="22"/>
          <w:szCs w:val="22"/>
        </w:rPr>
        <w:t>Wyjaśnienia z dnia 31.07.2023 - odp. Pytanie 252 oraz 343.</w:t>
      </w:r>
      <w:r w:rsidR="004509AD" w:rsidRPr="00833948">
        <w:rPr>
          <w:sz w:val="22"/>
          <w:szCs w:val="22"/>
        </w:rPr>
        <w:tab/>
      </w:r>
    </w:p>
    <w:p w14:paraId="123FCFAC" w14:textId="77777777" w:rsidR="004509AD" w:rsidRPr="00116F6D" w:rsidRDefault="004509AD" w:rsidP="004509AD">
      <w:pPr>
        <w:spacing w:before="120" w:after="120"/>
        <w:jc w:val="both"/>
        <w:rPr>
          <w:sz w:val="22"/>
          <w:szCs w:val="22"/>
        </w:rPr>
      </w:pPr>
      <w:r w:rsidRPr="00116F6D">
        <w:rPr>
          <w:sz w:val="22"/>
          <w:szCs w:val="22"/>
          <w:u w:val="single"/>
        </w:rPr>
        <w:t>Pytanie 252.</w:t>
      </w:r>
      <w:r w:rsidRPr="00116F6D">
        <w:rPr>
          <w:sz w:val="22"/>
          <w:szCs w:val="22"/>
          <w:u w:val="single"/>
        </w:rPr>
        <w:tab/>
      </w:r>
      <w:r w:rsidRPr="00116F6D">
        <w:rPr>
          <w:sz w:val="22"/>
          <w:szCs w:val="22"/>
        </w:rPr>
        <w:t>Załącznik nr 2 – Opis przedmiotu zamówienia;  Zakres 5 – Przygotowanie i dostarczenie dokumentacji projektowej oraz powykonawczej; Wytyczne do analizy przedwdrożeniowej</w:t>
      </w:r>
    </w:p>
    <w:p w14:paraId="350EBEA5" w14:textId="77777777" w:rsidR="004509AD" w:rsidRPr="00116F6D" w:rsidRDefault="004509AD" w:rsidP="004509AD">
      <w:pPr>
        <w:spacing w:before="120" w:after="120"/>
        <w:jc w:val="both"/>
        <w:rPr>
          <w:sz w:val="22"/>
          <w:szCs w:val="22"/>
        </w:rPr>
      </w:pPr>
      <w:r w:rsidRPr="00116F6D">
        <w:rPr>
          <w:sz w:val="22"/>
          <w:szCs w:val="22"/>
        </w:rPr>
        <w:t>Wykonawca jest zobowiązany do przygotowania i dostarczenia w wyznaczonym przez Zamawiającego terminie analizy przedwdrożeniowej.</w:t>
      </w:r>
    </w:p>
    <w:p w14:paraId="11B48C85" w14:textId="77777777" w:rsidR="004509AD" w:rsidRPr="00116F6D" w:rsidRDefault="004509AD" w:rsidP="004509AD">
      <w:pPr>
        <w:spacing w:before="120" w:after="120"/>
        <w:jc w:val="both"/>
        <w:rPr>
          <w:sz w:val="22"/>
          <w:szCs w:val="22"/>
        </w:rPr>
      </w:pPr>
      <w:r w:rsidRPr="00116F6D">
        <w:rPr>
          <w:sz w:val="22"/>
          <w:szCs w:val="22"/>
        </w:rPr>
        <w:t xml:space="preserve">Analiza przedwdrożeniowa ma na celu opisać sposób wdrożenia wymaganych przez OPZ funkcjonalności tak aby spełniały one swoje funkcje (ujęte z punktu widzenia personelu medycznego </w:t>
      </w:r>
      <w:r w:rsidRPr="00116F6D">
        <w:rPr>
          <w:sz w:val="22"/>
          <w:szCs w:val="22"/>
        </w:rPr>
        <w:lastRenderedPageBreak/>
        <w:t>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67F9638" w14:textId="77777777" w:rsidR="004509AD" w:rsidRPr="00116F6D" w:rsidRDefault="004509AD" w:rsidP="004509AD">
      <w:pPr>
        <w:spacing w:before="120" w:after="120"/>
        <w:jc w:val="both"/>
        <w:rPr>
          <w:sz w:val="22"/>
          <w:szCs w:val="22"/>
        </w:rPr>
      </w:pPr>
      <w:r w:rsidRPr="00116F6D">
        <w:rPr>
          <w:sz w:val="22"/>
          <w:szCs w:val="22"/>
        </w:rPr>
        <w:t>Uzasadnienie: Analiza przedwdrożeniowa jest wstępnym, ale bardzo istotnym dokumentem, ponieważ stanowi swoisty drogowskaz dla dalszych działań, które będzie musiał podjąć Wykonawca. Istotą analizy przedwdrożeniowej jest zdiagnozowanie aktualnych procesów u Zamawiającego, ale też wypracowanie nowych procesów. Co istotne zebrane informacje mogą wpływać na specyfikację funkcjonalną wdrażanego sytemu, wprowadzać terminy wzajemnych zobowiązań stron, zmieniając tym samym OPZ. Wszystkie podejmowane działania mają na celu realizację wdrożenia (przedmiotu zamówienia), jednakże zdarza się, że sposób dojścia do efektu będzie różnił się od wymagań przyjętych przez Zamawiającego w OPZ. Podczas trwania analizy może dojść do ustalenia, że należy stworzyć nowe funkcjonalności, bądź dane funkcjonalności muszą zostać koniecznie zmienione, rozszerzone, usunięte, itd., by przedmiot umowy był zgodny z wymaganiami postawionymi przez Zamawiającego. Warto sobie uświadomić, że w wymiarze materialnym dokument analizy przedwdrożeniowej to często materiał o rozpiętości kilkukrotnie przewyższającej dokumentację postępowania. Analiza spójności oraz konfrontacja z przedmiotem zamówienia informacji i danych potrzebnych do jej opracowania to materiał na wiele tomów.</w:t>
      </w:r>
    </w:p>
    <w:p w14:paraId="77B2BC41" w14:textId="77777777" w:rsidR="004509AD" w:rsidRPr="00116F6D" w:rsidRDefault="004509AD" w:rsidP="004509AD">
      <w:pPr>
        <w:spacing w:before="120" w:after="120"/>
        <w:jc w:val="both"/>
        <w:rPr>
          <w:sz w:val="22"/>
          <w:szCs w:val="22"/>
        </w:rPr>
      </w:pPr>
      <w:r w:rsidRPr="00116F6D">
        <w:rPr>
          <w:sz w:val="22"/>
          <w:szCs w:val="22"/>
        </w:rPr>
        <w:t>Analiza będzie obejmowała czynności zmierzające do ustalenia środowiska biznesowego i informatycznego u Zamawiającego. W wyniku przeprowadzenia Analizy przedwdrożeniowej Wykonawca będzie przedstawiał Zamawiającemu produkt jakim jest analiza, na podstawie, której będzie realizowane wdrożenie, czyli przedmiot zamówienia, dlatego też analiza powinna podlegać stałym uzgodnieniom Stron, a na koniec powinna zostać zaakceptowana przez Zamawiającego, ponieważ to analiza stanowi punkt wyjściowy do realizacji wdrożenia, które następnie będzie odbierane przez Zamawiającego. Jeżeli odbiór analizy zostanie pominięty, to na dalszym etapie umowy może dochodzić do sytuacji spornych między Wykonawcą, a Zamawiającym, co do zakresu objętego umową, co na koniec może doprowadzić nawet do fiaska całego projektu. Dlatego mając na uwadze przede wszystkim należyte wykonanie umowy za zasadne należy uznać by umowa przewidywała odbiór analizy przedwdrożeniowej.</w:t>
      </w:r>
    </w:p>
    <w:p w14:paraId="1EED089E" w14:textId="77777777" w:rsidR="004509AD" w:rsidRPr="00116F6D" w:rsidRDefault="004509AD" w:rsidP="004509AD">
      <w:pPr>
        <w:spacing w:before="120" w:after="120"/>
        <w:jc w:val="both"/>
        <w:rPr>
          <w:sz w:val="22"/>
          <w:szCs w:val="22"/>
        </w:rPr>
      </w:pPr>
      <w:r w:rsidRPr="00116F6D">
        <w:rPr>
          <w:sz w:val="22"/>
          <w:szCs w:val="22"/>
        </w:rPr>
        <w:t>To właśnie z uwagi na dużą wagę Analizy przedwdrożeniowej, która stanowi początkowy etap realizacji umowy, jednakże o fundamentalnym znaczeniu dla powodzenia projektu, za celowe i właściwie niezbędne do należytego zrealizowania umowy uznać należy uregulowanie w Umowie by Analiza przedwdrożeniowa również była objęta odbiorem, tj. odbiorem częściowym, tego konkretnego produktu. Z uwagi na zmiany wymagań, na które może wskazywać Analiza przedwdrożeniowa, do umowy powinien zostać wprowadzony mechanizm, który zapewni Stronom możliwość odstąpienia od umowy, w przypadku gdy Analiza przedwdrożeniowa nie zostanie zaakceptowana przez Zamawiającego (produkt nie zostanie odebrany). Zamawiający w przypadku odstąpienia od umowy, w takiej sytuacji, nie powinien mieć prawa do naliczania kary umownej tytułem odstąpienia od umowy, bowiem wynik przeprowadzonej Analizy przedwdrożeniowej nie może zostać uznany za przyczynę leżącą po stronie Wykonawcy.</w:t>
      </w:r>
    </w:p>
    <w:p w14:paraId="06706ABF" w14:textId="77777777" w:rsidR="004509AD" w:rsidRPr="00116F6D" w:rsidRDefault="004509AD" w:rsidP="004509AD">
      <w:pPr>
        <w:spacing w:before="120" w:after="120"/>
        <w:jc w:val="both"/>
        <w:rPr>
          <w:sz w:val="22"/>
          <w:szCs w:val="22"/>
        </w:rPr>
      </w:pPr>
      <w:r w:rsidRPr="00116F6D">
        <w:rPr>
          <w:sz w:val="22"/>
          <w:szCs w:val="22"/>
        </w:rPr>
        <w:t xml:space="preserve">Wobec powyższego prosimy o: </w:t>
      </w:r>
    </w:p>
    <w:p w14:paraId="21BBD098" w14:textId="77777777" w:rsidR="004509AD" w:rsidRPr="00116F6D" w:rsidRDefault="004509AD" w:rsidP="004509AD">
      <w:pPr>
        <w:spacing w:before="120" w:after="120"/>
        <w:jc w:val="both"/>
        <w:rPr>
          <w:sz w:val="22"/>
          <w:szCs w:val="22"/>
        </w:rPr>
      </w:pPr>
      <w:r w:rsidRPr="00116F6D">
        <w:rPr>
          <w:sz w:val="22"/>
          <w:szCs w:val="22"/>
        </w:rPr>
        <w:t>1.</w:t>
      </w:r>
      <w:r w:rsidRPr="00116F6D">
        <w:rPr>
          <w:sz w:val="22"/>
          <w:szCs w:val="22"/>
        </w:rPr>
        <w:tab/>
        <w:t>uregulowanie przez Zamawiającego kluczowych terminów granicznych dla opracowania analizy przedwdrożeniowej i dalej powodzenia projektu tj.:</w:t>
      </w:r>
    </w:p>
    <w:p w14:paraId="3D3E1B54" w14:textId="77777777" w:rsidR="004509AD" w:rsidRPr="00116F6D" w:rsidRDefault="004509AD" w:rsidP="004509AD">
      <w:pPr>
        <w:spacing w:before="120" w:after="120"/>
        <w:jc w:val="both"/>
        <w:rPr>
          <w:sz w:val="22"/>
          <w:szCs w:val="22"/>
        </w:rPr>
      </w:pPr>
      <w:r w:rsidRPr="00116F6D">
        <w:rPr>
          <w:sz w:val="22"/>
          <w:szCs w:val="22"/>
        </w:rPr>
        <w:t>2.</w:t>
      </w:r>
      <w:r w:rsidRPr="00116F6D">
        <w:rPr>
          <w:sz w:val="22"/>
          <w:szCs w:val="22"/>
        </w:rPr>
        <w:tab/>
        <w:t>terminu złożenia przez Wykonawcę wniosku o wykaz informacji i danych niezbędnych do opracowania analizy przedwdrożeniowej (standard branżowy to 5 dni),</w:t>
      </w:r>
    </w:p>
    <w:p w14:paraId="12AB43A1" w14:textId="77777777" w:rsidR="004509AD" w:rsidRPr="00116F6D" w:rsidRDefault="004509AD" w:rsidP="004509AD">
      <w:pPr>
        <w:spacing w:before="120" w:after="120"/>
        <w:jc w:val="both"/>
        <w:rPr>
          <w:sz w:val="22"/>
          <w:szCs w:val="22"/>
        </w:rPr>
      </w:pPr>
      <w:r w:rsidRPr="00116F6D">
        <w:rPr>
          <w:sz w:val="22"/>
          <w:szCs w:val="22"/>
        </w:rPr>
        <w:lastRenderedPageBreak/>
        <w:t>3.</w:t>
      </w:r>
      <w:r w:rsidRPr="00116F6D">
        <w:rPr>
          <w:sz w:val="22"/>
          <w:szCs w:val="22"/>
        </w:rPr>
        <w:tab/>
        <w:t>terminu przekazania przez Zamawiającego wnioskowanych przez Wykonawcę informacji/danych (10 dni),</w:t>
      </w:r>
    </w:p>
    <w:p w14:paraId="4F4E305C" w14:textId="77777777" w:rsidR="004509AD" w:rsidRPr="00116F6D" w:rsidRDefault="004509AD" w:rsidP="004509AD">
      <w:pPr>
        <w:spacing w:before="120" w:after="120"/>
        <w:jc w:val="both"/>
        <w:rPr>
          <w:sz w:val="22"/>
          <w:szCs w:val="22"/>
        </w:rPr>
      </w:pPr>
      <w:r w:rsidRPr="00116F6D">
        <w:rPr>
          <w:sz w:val="22"/>
          <w:szCs w:val="22"/>
        </w:rPr>
        <w:t>4.</w:t>
      </w:r>
      <w:r w:rsidRPr="00116F6D">
        <w:rPr>
          <w:sz w:val="22"/>
          <w:szCs w:val="22"/>
        </w:rPr>
        <w:tab/>
        <w:t>terminu przekazania przez Wykonawcę dokumentu analizy przedwdrożeniowej (standard branżowy przy podobnej skali to 21 dni),</w:t>
      </w:r>
    </w:p>
    <w:p w14:paraId="05A20E18" w14:textId="77777777" w:rsidR="004509AD" w:rsidRPr="00116F6D" w:rsidRDefault="004509AD" w:rsidP="004509AD">
      <w:pPr>
        <w:spacing w:before="120" w:after="120"/>
        <w:jc w:val="both"/>
        <w:rPr>
          <w:sz w:val="22"/>
          <w:szCs w:val="22"/>
        </w:rPr>
      </w:pPr>
      <w:r w:rsidRPr="00116F6D">
        <w:rPr>
          <w:sz w:val="22"/>
          <w:szCs w:val="22"/>
        </w:rPr>
        <w:t>5.</w:t>
      </w:r>
      <w:r w:rsidRPr="00116F6D">
        <w:rPr>
          <w:sz w:val="22"/>
          <w:szCs w:val="22"/>
        </w:rPr>
        <w:tab/>
        <w:t>terminu na akceptację przez Zamawiającego dokumentu analizy przedwdrożeniowej (standard branżowy przy podobnej skali to 14 dni).</w:t>
      </w:r>
    </w:p>
    <w:p w14:paraId="35036BF0" w14:textId="77777777" w:rsidR="004509AD" w:rsidRPr="00116F6D" w:rsidRDefault="004509AD" w:rsidP="004509AD">
      <w:pPr>
        <w:spacing w:before="120" w:after="120"/>
        <w:jc w:val="both"/>
        <w:rPr>
          <w:sz w:val="22"/>
          <w:szCs w:val="22"/>
        </w:rPr>
      </w:pPr>
      <w:r w:rsidRPr="00116F6D">
        <w:rPr>
          <w:sz w:val="22"/>
          <w:szCs w:val="22"/>
        </w:rPr>
        <w:t>6.</w:t>
      </w:r>
      <w:r w:rsidRPr="00116F6D">
        <w:rPr>
          <w:sz w:val="22"/>
          <w:szCs w:val="22"/>
        </w:rPr>
        <w:tab/>
        <w:t>Prosimy o potwierdzenie, że w przypadku opóźnień w przekazaniu Wykonawcy danych i informacji niezbędnych do realizacji Analizy Przedwdrożeniowej Zamawiający wydłuży termin realizacji przygotowania Analizy Przedwdrożeniowej i w przypadku dużego opóźnienia termin realizacji całego projektu?</w:t>
      </w:r>
    </w:p>
    <w:p w14:paraId="5F509906" w14:textId="77777777" w:rsidR="004509AD" w:rsidRPr="00116F6D" w:rsidRDefault="004509AD" w:rsidP="004509AD">
      <w:pPr>
        <w:spacing w:before="120" w:after="120"/>
        <w:jc w:val="both"/>
        <w:rPr>
          <w:sz w:val="22"/>
          <w:szCs w:val="22"/>
        </w:rPr>
      </w:pPr>
      <w:r w:rsidRPr="00116F6D">
        <w:rPr>
          <w:sz w:val="22"/>
          <w:szCs w:val="22"/>
        </w:rPr>
        <w:t>ODP: Zgodnie z SWZ, Analiza – to dokumenty opracowane przez Wykonawcę, mające na celu doprecyzowanie sposobu realizacji wymagań Zamawiającego, zasad i metod realizacji Umowy oraz wskazanie i szczegółowe opisanie Produktów. Zatem Analiza zgodnie z OPZ opisana jako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 Tak ujęta Analiza ma być przedmiotem odbioru, jako pierwszego, niezbędnego elementu, przy realizacji Etapu I. Analiza nie ma na celu wskazanie czy Wykonawca będzie w stanie wykonać zamówienie, ale jak je zamierza wykonać, uwzględniając specyfikę działalności Zamawiającego i konieczność zapewnienia ciągłości funkcjonowania Zamawiającego i realizacji podczas wdrożenia jego statutowej działalności. Jeżeli natomiast z przyczyn niezależnych od Wykonawcy nie da się zrealizować przedmiotu zamówienia, to z racji odpowiedzialności kontraktowej opartej o zasady winy, wykonawca nie będzie mógł być obarczony odpowiedzialnością i karami umownymi.</w:t>
      </w:r>
    </w:p>
    <w:p w14:paraId="320B55EB" w14:textId="77777777" w:rsidR="004509AD" w:rsidRPr="00116F6D" w:rsidRDefault="004509AD" w:rsidP="004509AD">
      <w:pPr>
        <w:spacing w:before="120" w:after="120"/>
        <w:jc w:val="both"/>
        <w:rPr>
          <w:sz w:val="22"/>
          <w:szCs w:val="22"/>
        </w:rPr>
      </w:pPr>
      <w:r w:rsidRPr="00116F6D">
        <w:rPr>
          <w:sz w:val="22"/>
          <w:szCs w:val="22"/>
          <w:u w:val="single"/>
        </w:rPr>
        <w:t xml:space="preserve">Pytanie 343. </w:t>
      </w:r>
      <w:r w:rsidRPr="00116F6D">
        <w:rPr>
          <w:sz w:val="22"/>
          <w:szCs w:val="22"/>
        </w:rPr>
        <w:t>Prosimy o modyfikację § 11 wzoru umowy poprzez dodanie ustępu 6 w następującym brzmieniu: „6. W przypadku braku pozytywnego odbioru Analizy Przedwdrożeniowej przez Zamawiającego każdej ze stron przysługuje prawo odstąpienia od umowy, przy czym żadnej ze stron w takim przypadku nie przysługuje prawo do naliczania kary umownej tytułem odstąpienia od umowy ani dochodzenia odszkodowania z tego tytułu. Prawo odstąpienia może zostać wykonane w terminie 120 dni od zawarcia umowy.” oraz o uzupełnienie kluczowych terminów granicznych dla opracowania analizy przedwdrożeniowej:</w:t>
      </w:r>
    </w:p>
    <w:p w14:paraId="77EBF0EF"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terminu złożenia przez Wykonawcę wniosku o wykaz informacji i danych niezbędnych do opracowania analizy przedwdrożeniowej – 5 dni</w:t>
      </w:r>
    </w:p>
    <w:p w14:paraId="3186F57D"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terminu przekazania przez Zamawiającego wnioskowanych przez Wykonawcę informacji/danych – 10 dni</w:t>
      </w:r>
    </w:p>
    <w:p w14:paraId="21848F35"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terminu przekazania przez Wykonawcę dokumentu analizy przedwdrożeniowej - 21 dni),</w:t>
      </w:r>
    </w:p>
    <w:p w14:paraId="7576B313" w14:textId="77777777" w:rsidR="004509AD" w:rsidRPr="00116F6D" w:rsidRDefault="004509AD" w:rsidP="004509AD">
      <w:pPr>
        <w:pStyle w:val="Akapitzlist"/>
        <w:numPr>
          <w:ilvl w:val="0"/>
          <w:numId w:val="10"/>
        </w:numPr>
        <w:jc w:val="both"/>
        <w:rPr>
          <w:rFonts w:ascii="Times New Roman" w:hAnsi="Times New Roman" w:cs="Times New Roman"/>
        </w:rPr>
      </w:pPr>
      <w:r w:rsidRPr="00116F6D">
        <w:rPr>
          <w:rFonts w:ascii="Times New Roman" w:hAnsi="Times New Roman" w:cs="Times New Roman"/>
        </w:rPr>
        <w:t>terminu na akceptację przez Zamawiającego dokumentu analizy przedwdrożeniowej – 14 dni</w:t>
      </w:r>
    </w:p>
    <w:p w14:paraId="65C0E366" w14:textId="77777777" w:rsidR="004509AD" w:rsidRPr="00116F6D" w:rsidRDefault="004509AD" w:rsidP="004509AD">
      <w:pPr>
        <w:jc w:val="both"/>
        <w:rPr>
          <w:sz w:val="22"/>
          <w:szCs w:val="22"/>
        </w:rPr>
      </w:pPr>
      <w:r w:rsidRPr="00116F6D">
        <w:rPr>
          <w:sz w:val="22"/>
          <w:szCs w:val="22"/>
        </w:rPr>
        <w:t xml:space="preserve">Z uwagi na dużą wagę Analizy przedwdrożeniowej, która stanowi początkowy etap realizacji umowy, jednakże o fundamentalnym znaczeniu dla powodzenia projektu, za celowe i właściwie niezbędne do należytego zrealizowania umowy uznać należy uregulowanie w Umowie by Analiza przedwdrożeniowa również była objęta odbiorem, tj. odbiorem częściowym, tego konkretnego produktu. Z uwagi na zmiany wymagań, na które może wskazywać Analiza przedwdrożeniowa, do umowy powinien zostać wprowadzony mechanizm, który zapewni Stronom możliwość odstąpienia od umowy, w przypadku gdy </w:t>
      </w:r>
      <w:r w:rsidRPr="00116F6D">
        <w:rPr>
          <w:sz w:val="22"/>
          <w:szCs w:val="22"/>
        </w:rPr>
        <w:lastRenderedPageBreak/>
        <w:t>Analiza przedwdrożeniowa nie zostanie zaakceptowana przez Zamawiającego (produkt nie zostanie odebrany). Zamawiający w przypadku odstąpienia od umowy, w takiej sytuacji, nie powinien mieć prawa do naliczania kary umownej tytułem odstąpienia od umowy, bowiem wynik przeprowadzonej Analizy przedwdrożeniowej nie może zostać uznany za przyczynę leżącą po stronie Wykonawcy.</w:t>
      </w:r>
    </w:p>
    <w:p w14:paraId="33E0B7DE" w14:textId="77777777" w:rsidR="004509AD" w:rsidRPr="00116F6D" w:rsidRDefault="004509AD" w:rsidP="004509AD">
      <w:pPr>
        <w:jc w:val="both"/>
        <w:rPr>
          <w:sz w:val="22"/>
          <w:szCs w:val="22"/>
        </w:rPr>
      </w:pPr>
      <w:r w:rsidRPr="00116F6D">
        <w:rPr>
          <w:sz w:val="22"/>
          <w:szCs w:val="22"/>
        </w:rPr>
        <w:t>ODP: Jak SWZ.</w:t>
      </w:r>
    </w:p>
    <w:p w14:paraId="4EFA8422" w14:textId="77777777" w:rsidR="004509AD" w:rsidRPr="00116F6D" w:rsidRDefault="004509AD" w:rsidP="004509AD">
      <w:pPr>
        <w:jc w:val="both"/>
        <w:rPr>
          <w:b/>
          <w:bCs/>
          <w:sz w:val="22"/>
          <w:szCs w:val="22"/>
        </w:rPr>
      </w:pPr>
      <w:r w:rsidRPr="00116F6D">
        <w:rPr>
          <w:b/>
          <w:bCs/>
          <w:sz w:val="22"/>
          <w:szCs w:val="22"/>
        </w:rPr>
        <w:t xml:space="preserve">Z powyższych odpowiedzi Zamawiającego wynika niewiele poza tym, że sam docenia rolę analizy przedwdrożeniowej co wynika z także z innych odpowiedzi udzielonych na pytania o </w:t>
      </w:r>
      <w:proofErr w:type="spellStart"/>
      <w:r w:rsidRPr="00116F6D">
        <w:rPr>
          <w:b/>
          <w:bCs/>
          <w:sz w:val="22"/>
          <w:szCs w:val="22"/>
        </w:rPr>
        <w:t>num</w:t>
      </w:r>
      <w:proofErr w:type="spellEnd"/>
      <w:r w:rsidRPr="00116F6D">
        <w:rPr>
          <w:b/>
          <w:bCs/>
          <w:sz w:val="22"/>
          <w:szCs w:val="22"/>
        </w:rPr>
        <w:t xml:space="preserve">.: 1, 14, 33, brak nr., brak nr2., 43, 120, 125, 129, 133, 141, 144, 145, 154, 178, 195, 206, 215, 230, 232, 241, 248, 252, 258, 259, 260, 276, 278, 282, 288.  Da się z nich wywieść, że Zamawiający przewiduje wykonanie na etapie analizy określonych ważnych dla powodzenia projektu czynności. </w:t>
      </w:r>
    </w:p>
    <w:p w14:paraId="7BABE6F0" w14:textId="77777777" w:rsidR="004509AD" w:rsidRPr="00116F6D" w:rsidRDefault="004509AD" w:rsidP="004509AD">
      <w:pPr>
        <w:jc w:val="both"/>
        <w:rPr>
          <w:b/>
          <w:bCs/>
          <w:sz w:val="22"/>
          <w:szCs w:val="22"/>
        </w:rPr>
      </w:pPr>
      <w:r w:rsidRPr="00116F6D">
        <w:rPr>
          <w:b/>
          <w:bCs/>
          <w:sz w:val="22"/>
          <w:szCs w:val="22"/>
        </w:rPr>
        <w:t>Jeżeli analiza jest dokumentem tak ważnym, tym bardziej Wykonawca musi znać termin, w jakim Zamawiający będzie zobowiązany do jej odbioru. W okresie tym Wykonawca bowiem nie może realizować zdecydowanej większości przedmiotu zamówienia co istotnie i w sposób niemożliwy do oszacowania skraca mu okres przewidziany na wykonanie I etapu.</w:t>
      </w:r>
    </w:p>
    <w:p w14:paraId="0CC7762F" w14:textId="77777777" w:rsidR="004509AD" w:rsidRPr="00116F6D" w:rsidRDefault="004509AD" w:rsidP="004509AD">
      <w:pPr>
        <w:jc w:val="both"/>
        <w:rPr>
          <w:b/>
          <w:bCs/>
          <w:sz w:val="22"/>
          <w:szCs w:val="22"/>
        </w:rPr>
      </w:pPr>
      <w:r w:rsidRPr="00116F6D">
        <w:rPr>
          <w:b/>
          <w:bCs/>
          <w:sz w:val="22"/>
          <w:szCs w:val="22"/>
        </w:rPr>
        <w:t>W światle powyższego, Wykonawca ponownie wnosi o wskazanie, w jakim terminie od daty złożenia u Zamawiającego dokumentu analizy przedwdrożeniowej Zamawiający dokona jej odbioru lub wniesie zastrzeżenia.</w:t>
      </w:r>
    </w:p>
    <w:p w14:paraId="2D08AECC" w14:textId="4E0C24FC"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FF1C7D">
        <w:rPr>
          <w:b/>
          <w:bCs/>
          <w:sz w:val="22"/>
          <w:szCs w:val="22"/>
        </w:rPr>
        <w:t xml:space="preserve"> </w:t>
      </w:r>
      <w:r w:rsidR="00FF1C7D" w:rsidRPr="00FF1C7D">
        <w:rPr>
          <w:rFonts w:cstheme="minorHAnsi"/>
          <w:sz w:val="22"/>
          <w:szCs w:val="22"/>
        </w:rPr>
        <w:t>Zamawiający wyjaśnia że w ciągu 14 dni przystąpi do odbioru analizy przedwdrożeniowej i/lub wniesienia uwag</w:t>
      </w:r>
      <w:r w:rsidR="00FF1C7D" w:rsidRPr="00142626">
        <w:rPr>
          <w:rFonts w:cstheme="minorHAnsi"/>
          <w:b/>
          <w:bCs/>
          <w:u w:val="single"/>
        </w:rPr>
        <w:t>.</w:t>
      </w:r>
    </w:p>
    <w:p w14:paraId="01ADFD92" w14:textId="64D234E2" w:rsidR="004509AD" w:rsidRPr="00833948" w:rsidRDefault="007B0F45" w:rsidP="00833948">
      <w:pPr>
        <w:spacing w:before="60" w:after="60"/>
        <w:ind w:left="30" w:right="-72"/>
        <w:rPr>
          <w:b/>
          <w:bCs/>
          <w:sz w:val="22"/>
          <w:szCs w:val="22"/>
        </w:rPr>
      </w:pPr>
      <w:r w:rsidRPr="00116F6D">
        <w:rPr>
          <w:b/>
          <w:bCs/>
          <w:sz w:val="22"/>
          <w:szCs w:val="22"/>
        </w:rPr>
        <w:br/>
        <w:t>Pytanie nr 6</w:t>
      </w:r>
      <w:r w:rsidR="00833948">
        <w:rPr>
          <w:b/>
          <w:bCs/>
          <w:sz w:val="22"/>
          <w:szCs w:val="22"/>
        </w:rPr>
        <w:t xml:space="preserve"> </w:t>
      </w:r>
      <w:r w:rsidR="004509AD" w:rsidRPr="00833948">
        <w:rPr>
          <w:sz w:val="22"/>
          <w:szCs w:val="22"/>
        </w:rPr>
        <w:t>Odp. Pytanie 315 oraz 24.</w:t>
      </w:r>
    </w:p>
    <w:p w14:paraId="0AE56BD6" w14:textId="77777777" w:rsidR="004509AD" w:rsidRPr="00116F6D" w:rsidRDefault="004509AD" w:rsidP="004509AD">
      <w:pPr>
        <w:spacing w:before="120" w:after="120"/>
        <w:jc w:val="both"/>
        <w:rPr>
          <w:sz w:val="22"/>
          <w:szCs w:val="22"/>
        </w:rPr>
      </w:pPr>
      <w:r w:rsidRPr="00116F6D">
        <w:rPr>
          <w:sz w:val="22"/>
          <w:szCs w:val="22"/>
          <w:u w:val="single"/>
        </w:rPr>
        <w:t>Pytanie 315.</w:t>
      </w:r>
      <w:r w:rsidRPr="00116F6D">
        <w:rPr>
          <w:sz w:val="22"/>
          <w:szCs w:val="22"/>
        </w:rPr>
        <w:t xml:space="preserve"> Załącznik nr 4 Wzór umowy - § 10 Zmiany umowy. Wykonawca zwraca uwagę, iż przy realizacji wdrożenia obejmującego tak szeroki zakres oraz długi okres czasu oraz wymagającego ścisłej współpracy Stron, w toku realizacji mogą nastąpić wydarzenia zewnętrzne,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p>
    <w:p w14:paraId="1E66A127" w14:textId="77777777" w:rsidR="004509AD" w:rsidRPr="00116F6D" w:rsidRDefault="004509AD" w:rsidP="004509AD">
      <w:pPr>
        <w:spacing w:before="120" w:after="120"/>
        <w:jc w:val="both"/>
        <w:rPr>
          <w:sz w:val="22"/>
          <w:szCs w:val="22"/>
        </w:rPr>
      </w:pPr>
      <w:r w:rsidRPr="00116F6D">
        <w:rPr>
          <w:sz w:val="22"/>
          <w:szCs w:val="22"/>
        </w:rPr>
        <w:t>ODP: Zamawiający przewiduje zmiany terminów realizacji zamówienia z przyczyn niezależnych od Wykonawcy lub Zamawiającego, które to przyczyny każda ze Stron wnioskująca o zmianę musi udokumentować.</w:t>
      </w:r>
    </w:p>
    <w:p w14:paraId="6241064F" w14:textId="77777777" w:rsidR="004509AD" w:rsidRPr="00116F6D" w:rsidRDefault="004509AD" w:rsidP="004509AD">
      <w:pPr>
        <w:spacing w:before="120" w:after="120"/>
        <w:jc w:val="both"/>
        <w:rPr>
          <w:sz w:val="22"/>
          <w:szCs w:val="22"/>
        </w:rPr>
      </w:pPr>
      <w:r w:rsidRPr="00116F6D">
        <w:rPr>
          <w:sz w:val="22"/>
          <w:szCs w:val="22"/>
          <w:u w:val="single"/>
        </w:rPr>
        <w:t>Pytanie nr 24</w:t>
      </w:r>
      <w:r w:rsidRPr="00116F6D">
        <w:rPr>
          <w:sz w:val="22"/>
          <w:szCs w:val="22"/>
        </w:rPr>
        <w:t xml:space="preserve"> - § 22 ust. 7 wzoru umowy: 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739BFBA5" w14:textId="77777777" w:rsidR="004509AD" w:rsidRPr="00116F6D" w:rsidRDefault="004509AD" w:rsidP="004509AD">
      <w:pPr>
        <w:spacing w:before="120" w:after="120"/>
        <w:jc w:val="both"/>
        <w:rPr>
          <w:sz w:val="22"/>
          <w:szCs w:val="22"/>
        </w:rPr>
      </w:pPr>
      <w:r w:rsidRPr="00116F6D">
        <w:rPr>
          <w:sz w:val="22"/>
          <w:szCs w:val="22"/>
        </w:rPr>
        <w:t xml:space="preserve">Zwracamy się do Zamawiającego z pytaniem o możliwość usunięcia zapisu. Zgodnie z przepisami ustawy </w:t>
      </w:r>
      <w:proofErr w:type="spellStart"/>
      <w:r w:rsidRPr="00116F6D">
        <w:rPr>
          <w:sz w:val="22"/>
          <w:szCs w:val="22"/>
        </w:rPr>
        <w:t>Pzp</w:t>
      </w:r>
      <w:proofErr w:type="spellEnd"/>
      <w:r w:rsidRPr="00116F6D">
        <w:rPr>
          <w:sz w:val="22"/>
          <w:szCs w:val="22"/>
        </w:rPr>
        <w:t xml:space="preserve"> obowiązkiem Zamawiającego jest opisanie przedmiotu zamówienia w sposób jednoznaczny i wyczerpujący, uwzględniający wszystkie wymagania i okoliczności mogące mieć wpływ na sporządzenie oferty. Z treści dokumentów postępowania o udzielenie zamówienia publicznego wykonawca powinien powziąć informację o wszelkich niezbędnych pracach wymaganych do prawidłowej realizacji przedmiotu umowy. Wskazany zapis pozostaje w sprzeczności z art. 99 ust. 1 i 4 PZP. Jak wskazuje się w orzecznictwie wzór umowy w sprawie zamówienia publicznego jest integralną częścią SWZ, a jego postanowienia muszą w sposób jednoznaczny i precyzyjny określać obowiązki wykonawcy. Jeżeli wystąpi niejednoznaczność co do opisu przedmiotu zamówienia, to taka okoliczność </w:t>
      </w:r>
      <w:r w:rsidRPr="00116F6D">
        <w:rPr>
          <w:sz w:val="22"/>
          <w:szCs w:val="22"/>
        </w:rPr>
        <w:lastRenderedPageBreak/>
        <w:t xml:space="preserve">nie może zostać uznana za nieistotną, a skutkiem może być zaktualizowanie się przesłanki obligującej Zamawiającego do unieważnienia postępowania. Wskazany zapis nie spełnia wymogów ustawy </w:t>
      </w:r>
      <w:proofErr w:type="spellStart"/>
      <w:r w:rsidRPr="00116F6D">
        <w:rPr>
          <w:sz w:val="22"/>
          <w:szCs w:val="22"/>
        </w:rPr>
        <w:t>Pzp</w:t>
      </w:r>
      <w:proofErr w:type="spellEnd"/>
      <w:r w:rsidRPr="00116F6D">
        <w:rPr>
          <w:sz w:val="22"/>
          <w:szCs w:val="22"/>
        </w:rPr>
        <w:t xml:space="preserve">. </w:t>
      </w:r>
    </w:p>
    <w:p w14:paraId="43526BD0" w14:textId="77777777" w:rsidR="004509AD" w:rsidRPr="00116F6D" w:rsidRDefault="004509AD" w:rsidP="004509AD">
      <w:pPr>
        <w:spacing w:before="120" w:after="120"/>
        <w:jc w:val="both"/>
        <w:rPr>
          <w:sz w:val="22"/>
          <w:szCs w:val="22"/>
        </w:rPr>
      </w:pPr>
      <w:r w:rsidRPr="00116F6D">
        <w:rPr>
          <w:sz w:val="22"/>
          <w:szCs w:val="22"/>
        </w:rPr>
        <w:t>ODP: Jak SWZ. Jeżeli wykonawca złoży ofertę na bazie SWZ, to oznacza, że jest gotowy do wykonania zamówienia. W przypadku niejasności, wszystko może być przedmiotem wyjaśnień przed dniem złożenia ofert.</w:t>
      </w:r>
    </w:p>
    <w:p w14:paraId="0CCF321E" w14:textId="77777777" w:rsidR="004509AD" w:rsidRPr="00116F6D" w:rsidRDefault="004509AD" w:rsidP="004509AD">
      <w:pPr>
        <w:spacing w:before="120" w:after="120"/>
        <w:jc w:val="both"/>
        <w:rPr>
          <w:b/>
          <w:bCs/>
          <w:sz w:val="22"/>
          <w:szCs w:val="22"/>
        </w:rPr>
      </w:pPr>
      <w:r w:rsidRPr="00116F6D">
        <w:rPr>
          <w:b/>
          <w:bCs/>
          <w:sz w:val="22"/>
          <w:szCs w:val="22"/>
        </w:rPr>
        <w:t xml:space="preserve">Wykonawca zwraca uwagę, że znacząca cześć przedmiotu zamówienia zostanie określona dopiero na etapie analizy przedwdrożeniowej (pytanie powyżej) oraz że istnieją tysiące okoliczności, z powodu których Zamawiający może dopuścić się zwłoki w realizacji swoich zobowiązań umownych na co umowa nie jest w swojej treści obecnie gotowa. Ponieważ Zamawiający zignorował również sugestię możliwości rozwiązania umowy w przypadku nieustalenia ostatecznej treści analizy przedwdrożeniowej zwracamy się  z wnioskiem o dodanie w §10 ust. 2 punku w następującym brzmieniu co umożliwi uniknięcie sytuacji patowej: w przypadku zmiany terminów realizacji zamówienia wynikających ze zwłoki Zamawiającego w realizacji swoich zobowiązań umownych oraz  zmian sposobu lub terminów wykonania poszczególnych świadczeń przewidzianych w Etapie I uzgodnionych w ramach analizy przedwdrożeniowej. </w:t>
      </w:r>
    </w:p>
    <w:p w14:paraId="3C71E77C" w14:textId="317240CD" w:rsidR="007B0F45" w:rsidRPr="00FF1C7D" w:rsidRDefault="007B0F45" w:rsidP="007B0F45">
      <w:pPr>
        <w:spacing w:after="40"/>
        <w:ind w:left="30" w:right="-72"/>
        <w:rPr>
          <w:sz w:val="24"/>
          <w:szCs w:val="24"/>
        </w:rPr>
      </w:pPr>
      <w:r w:rsidRPr="00116F6D">
        <w:rPr>
          <w:b/>
          <w:bCs/>
          <w:sz w:val="22"/>
          <w:szCs w:val="22"/>
        </w:rPr>
        <w:t>Stanowisko (wyjaśnienie) Zamawiającego:</w:t>
      </w:r>
      <w:r w:rsidR="00FF1C7D">
        <w:rPr>
          <w:b/>
          <w:bCs/>
          <w:sz w:val="22"/>
          <w:szCs w:val="22"/>
        </w:rPr>
        <w:t xml:space="preserve"> </w:t>
      </w:r>
      <w:r w:rsidR="00FF1C7D" w:rsidRPr="00FF1C7D">
        <w:rPr>
          <w:rFonts w:cstheme="minorHAnsi"/>
          <w:sz w:val="22"/>
          <w:szCs w:val="22"/>
        </w:rPr>
        <w:t>Zamawiający wyjaśnia że w ciągu 14 dni przystąpi do odbioru analizy przedwdrożeniowej i/lub wniesienia uwag a czynności zależne od Zamawiającego np. czas odbioru analizy przedwdrożeniowej automatycznie wydłużają termin realizacji o długość trwania tej czynności.</w:t>
      </w:r>
    </w:p>
    <w:p w14:paraId="0309ED4C" w14:textId="3F55D0B2" w:rsidR="004509AD" w:rsidRPr="00116F6D" w:rsidRDefault="007B0F45" w:rsidP="004509AD">
      <w:pPr>
        <w:spacing w:before="60" w:after="60"/>
        <w:ind w:left="30" w:right="-72"/>
        <w:rPr>
          <w:b/>
          <w:bCs/>
          <w:sz w:val="22"/>
          <w:szCs w:val="22"/>
        </w:rPr>
      </w:pPr>
      <w:r w:rsidRPr="00116F6D">
        <w:rPr>
          <w:b/>
          <w:bCs/>
          <w:sz w:val="22"/>
          <w:szCs w:val="22"/>
        </w:rPr>
        <w:br/>
        <w:t>Pytanie nr 7</w:t>
      </w:r>
      <w:r w:rsidR="004509AD" w:rsidRPr="00116F6D">
        <w:rPr>
          <w:b/>
          <w:bCs/>
          <w:sz w:val="22"/>
          <w:szCs w:val="22"/>
        </w:rPr>
        <w:br/>
      </w:r>
      <w:r w:rsidR="004509AD" w:rsidRPr="00116F6D">
        <w:rPr>
          <w:sz w:val="22"/>
          <w:szCs w:val="22"/>
        </w:rPr>
        <w:t>Wyjaśnienia z dnia 31.07.2023 - odp. Pytanie 39. Załącznik nr 2 OPZ Zakres 6 W ramach utrzymania i serwisu przez cały okres obowiązywania umowy Wykonawca musi zaoferować całodobowy, siedem dni w tygodniu, 365 dni w roku serwis dla zgłoszeń krytycznych z czasem reakcji maksymalnie 30 minut i terminem usunięcia dysfunkcji maksymalnie w ciągu 4 godzin.</w:t>
      </w:r>
    </w:p>
    <w:p w14:paraId="2EE12EBD" w14:textId="77777777" w:rsidR="004509AD" w:rsidRPr="00116F6D" w:rsidRDefault="004509AD" w:rsidP="004509AD">
      <w:pPr>
        <w:jc w:val="both"/>
        <w:rPr>
          <w:sz w:val="22"/>
          <w:szCs w:val="22"/>
        </w:rPr>
      </w:pPr>
      <w:r w:rsidRPr="00116F6D">
        <w:rPr>
          <w:sz w:val="22"/>
          <w:szCs w:val="22"/>
        </w:rPr>
        <w:t>Wykonawca prosi o potwierdzenie, że Zamawiający poprzez „dysfunkcję” oraz „zgłoszenie krytyczne” miał na myśli Stan Krytyczny, a maksymalny czas jego usunięcia to 8 godzin.</w:t>
      </w:r>
    </w:p>
    <w:p w14:paraId="0FCACFFF" w14:textId="77777777" w:rsidR="004509AD" w:rsidRPr="00116F6D" w:rsidRDefault="004509AD" w:rsidP="004509AD">
      <w:pPr>
        <w:jc w:val="both"/>
        <w:rPr>
          <w:sz w:val="22"/>
          <w:szCs w:val="22"/>
        </w:rPr>
      </w:pPr>
      <w:r w:rsidRPr="00116F6D">
        <w:rPr>
          <w:sz w:val="22"/>
          <w:szCs w:val="22"/>
        </w:rPr>
        <w:t>ODP: Zgodnie z SWZ.</w:t>
      </w:r>
    </w:p>
    <w:p w14:paraId="729A311E" w14:textId="77777777" w:rsidR="004509AD" w:rsidRPr="00116F6D" w:rsidRDefault="004509AD" w:rsidP="004509AD">
      <w:pPr>
        <w:jc w:val="both"/>
        <w:rPr>
          <w:b/>
          <w:bCs/>
          <w:sz w:val="22"/>
          <w:szCs w:val="22"/>
        </w:rPr>
      </w:pPr>
      <w:r w:rsidRPr="00116F6D">
        <w:rPr>
          <w:b/>
          <w:bCs/>
          <w:sz w:val="22"/>
          <w:szCs w:val="22"/>
        </w:rPr>
        <w:t>Zamawiający uchylił się od odpowiedzi a  w SWZ nie istnieje określenie pojęcia „zgłoszenia krytycznego”. Wykonawca wnosi o jednoznaczną odpowiedź na pytanie pozwalającą Wykonawcy powziąć informację, czy serwis całodobowy ma się zajmować wszystkim czy tylko zdarzeniami poważnymi, dla których przewidział w Umowie definicje pod nazwą „Stanu Krytycznego”?</w:t>
      </w:r>
    </w:p>
    <w:p w14:paraId="7307A62C" w14:textId="773F0EC7"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FF1C7D">
        <w:rPr>
          <w:b/>
          <w:bCs/>
          <w:sz w:val="22"/>
          <w:szCs w:val="22"/>
        </w:rPr>
        <w:t xml:space="preserve"> </w:t>
      </w:r>
      <w:r w:rsidR="00FF1C7D" w:rsidRPr="00FF1C7D">
        <w:rPr>
          <w:sz w:val="22"/>
          <w:szCs w:val="22"/>
        </w:rPr>
        <w:t>Zgodnie z SWZ</w:t>
      </w:r>
    </w:p>
    <w:p w14:paraId="71BB275F" w14:textId="7252F760" w:rsidR="004509AD" w:rsidRPr="00116F6D" w:rsidRDefault="004509AD" w:rsidP="004509AD">
      <w:pPr>
        <w:spacing w:before="60" w:after="60"/>
        <w:ind w:left="30" w:right="-72"/>
        <w:rPr>
          <w:b/>
          <w:bCs/>
          <w:sz w:val="22"/>
          <w:szCs w:val="22"/>
        </w:rPr>
      </w:pPr>
      <w:r w:rsidRPr="00116F6D">
        <w:rPr>
          <w:b/>
          <w:bCs/>
          <w:sz w:val="22"/>
          <w:szCs w:val="22"/>
        </w:rPr>
        <w:br/>
      </w:r>
      <w:r w:rsidR="007B0F45" w:rsidRPr="00116F6D">
        <w:rPr>
          <w:b/>
          <w:bCs/>
          <w:sz w:val="22"/>
          <w:szCs w:val="22"/>
        </w:rPr>
        <w:t>Pytanie nr 8</w:t>
      </w:r>
      <w:r w:rsidRPr="00116F6D">
        <w:rPr>
          <w:b/>
          <w:bCs/>
          <w:sz w:val="22"/>
          <w:szCs w:val="22"/>
        </w:rPr>
        <w:br/>
      </w:r>
      <w:r w:rsidRPr="00116F6D">
        <w:rPr>
          <w:sz w:val="22"/>
          <w:szCs w:val="22"/>
        </w:rPr>
        <w:t>Wyjaśnienia z dnia 31.07.2023 - odp. Pytanie 53. Załącznik nr 2 do SWZ, SOPZ, Zakres 2; dostawa oprogramowania, System HIS, Oddział, "System musi zapewnić możliwość wystawienia, podglądu i edycji: zleceń wykonania diagnoz pielęgniarskich, zleceń wykonania pomiarów, innych zleceń pielęgniarskich"</w:t>
      </w:r>
    </w:p>
    <w:p w14:paraId="33E268D7" w14:textId="77777777" w:rsidR="004509AD" w:rsidRPr="00116F6D" w:rsidRDefault="004509AD" w:rsidP="004509AD">
      <w:pPr>
        <w:jc w:val="both"/>
        <w:rPr>
          <w:sz w:val="22"/>
          <w:szCs w:val="22"/>
        </w:rPr>
      </w:pPr>
      <w:r w:rsidRPr="00116F6D">
        <w:rPr>
          <w:sz w:val="22"/>
          <w:szCs w:val="22"/>
        </w:rPr>
        <w:t>Czy Zamawiający uzna wymóg za spełniony w momencie, w którym wymienione w treści wymogu zlecenia będą możliwe do zaordynowania/realizacji jako procedury medyczne?</w:t>
      </w:r>
    </w:p>
    <w:p w14:paraId="0FDCC75E" w14:textId="77777777" w:rsidR="004509AD" w:rsidRPr="00116F6D" w:rsidRDefault="004509AD" w:rsidP="004509AD">
      <w:pPr>
        <w:jc w:val="both"/>
        <w:rPr>
          <w:sz w:val="22"/>
          <w:szCs w:val="22"/>
        </w:rPr>
      </w:pPr>
      <w:r w:rsidRPr="00116F6D">
        <w:rPr>
          <w:sz w:val="22"/>
          <w:szCs w:val="22"/>
        </w:rPr>
        <w:t>ODP: Zgodnie z SWZ.</w:t>
      </w:r>
    </w:p>
    <w:p w14:paraId="23D90AA9" w14:textId="77777777" w:rsidR="004509AD" w:rsidRPr="00116F6D" w:rsidRDefault="004509AD" w:rsidP="004509AD">
      <w:pPr>
        <w:jc w:val="both"/>
        <w:rPr>
          <w:b/>
          <w:bCs/>
          <w:sz w:val="22"/>
          <w:szCs w:val="22"/>
        </w:rPr>
      </w:pPr>
      <w:r w:rsidRPr="00116F6D">
        <w:rPr>
          <w:b/>
          <w:bCs/>
          <w:sz w:val="22"/>
          <w:szCs w:val="22"/>
        </w:rPr>
        <w:t xml:space="preserve">SWZ nie zawiera odpowiedzi na zadane pytanie a jest ono istotne dla oszacowania czy będzie konieczne uwzględnienie w wycenie istotnej przebudowy systemu. Jeżeli bowiem Zamawiający oczekuje żeby w jego podmiocie leczniczym zlecenia pielęgniarskie stanowiły odrębny byt niż procedury, których katalogiem zarządza a które to dodatkowo umożliwiają wycenę kosztów zgodnie z </w:t>
      </w:r>
      <w:proofErr w:type="spellStart"/>
      <w:r w:rsidRPr="00116F6D">
        <w:rPr>
          <w:b/>
          <w:bCs/>
          <w:sz w:val="22"/>
          <w:szCs w:val="22"/>
        </w:rPr>
        <w:t>rozp</w:t>
      </w:r>
      <w:proofErr w:type="spellEnd"/>
      <w:r w:rsidRPr="00116F6D">
        <w:rPr>
          <w:b/>
          <w:bCs/>
          <w:sz w:val="22"/>
          <w:szCs w:val="22"/>
        </w:rPr>
        <w:t xml:space="preserve">. z dnia 26 października 2020 </w:t>
      </w:r>
      <w:proofErr w:type="spellStart"/>
      <w:r w:rsidRPr="00116F6D">
        <w:rPr>
          <w:b/>
          <w:bCs/>
          <w:sz w:val="22"/>
          <w:szCs w:val="22"/>
        </w:rPr>
        <w:t>r.w</w:t>
      </w:r>
      <w:proofErr w:type="spellEnd"/>
      <w:r w:rsidRPr="00116F6D">
        <w:rPr>
          <w:b/>
          <w:bCs/>
          <w:sz w:val="22"/>
          <w:szCs w:val="22"/>
        </w:rPr>
        <w:t xml:space="preserve"> sprawie zaleceń dotyczących standardu rachunku kosztów u świadczeniodawców – będzie to istotna przebudowa dla wszystkich dostawców HIS. </w:t>
      </w:r>
    </w:p>
    <w:p w14:paraId="587AC0FF" w14:textId="77777777" w:rsidR="004509AD" w:rsidRPr="00116F6D" w:rsidRDefault="004509AD" w:rsidP="004509AD">
      <w:pPr>
        <w:jc w:val="both"/>
        <w:rPr>
          <w:b/>
          <w:bCs/>
          <w:sz w:val="22"/>
          <w:szCs w:val="22"/>
        </w:rPr>
      </w:pPr>
      <w:r w:rsidRPr="00116F6D">
        <w:rPr>
          <w:b/>
          <w:bCs/>
          <w:sz w:val="22"/>
          <w:szCs w:val="22"/>
        </w:rPr>
        <w:t xml:space="preserve">Mając na uwadze powyższe Wykonawca wnosi o udzielenie odpowiedzi na pytanie niosącej treść merytoryczną.  </w:t>
      </w:r>
    </w:p>
    <w:p w14:paraId="2A4051F6" w14:textId="7519D2F6" w:rsidR="007B0F45" w:rsidRPr="00116F6D" w:rsidRDefault="007B0F45" w:rsidP="007B0F45">
      <w:pPr>
        <w:spacing w:after="40"/>
        <w:ind w:left="30" w:right="-72"/>
        <w:rPr>
          <w:b/>
          <w:bCs/>
          <w:sz w:val="22"/>
          <w:szCs w:val="22"/>
        </w:rPr>
      </w:pPr>
      <w:r w:rsidRPr="00116F6D">
        <w:rPr>
          <w:b/>
          <w:bCs/>
          <w:sz w:val="22"/>
          <w:szCs w:val="22"/>
        </w:rPr>
        <w:lastRenderedPageBreak/>
        <w:t>Stanowisko (wyjaśnienie) Zamawiającego:</w:t>
      </w:r>
      <w:r w:rsidR="0061225C">
        <w:rPr>
          <w:b/>
          <w:bCs/>
          <w:sz w:val="22"/>
          <w:szCs w:val="22"/>
        </w:rPr>
        <w:t xml:space="preserve"> </w:t>
      </w:r>
      <w:r w:rsidR="0061225C" w:rsidRPr="00FF1C7D">
        <w:rPr>
          <w:sz w:val="22"/>
          <w:szCs w:val="22"/>
        </w:rPr>
        <w:t>Zgodnie z SWZ</w:t>
      </w:r>
      <w:r w:rsidRPr="00116F6D">
        <w:rPr>
          <w:b/>
          <w:bCs/>
          <w:sz w:val="22"/>
          <w:szCs w:val="22"/>
        </w:rPr>
        <w:br/>
      </w:r>
    </w:p>
    <w:p w14:paraId="1B1FA66B" w14:textId="0C0E02F3" w:rsidR="004509AD" w:rsidRPr="00116F6D" w:rsidRDefault="007B0F45" w:rsidP="004509AD">
      <w:pPr>
        <w:spacing w:before="60" w:after="60"/>
        <w:ind w:left="30" w:right="-72"/>
        <w:rPr>
          <w:b/>
          <w:bCs/>
          <w:sz w:val="22"/>
          <w:szCs w:val="22"/>
        </w:rPr>
      </w:pPr>
      <w:r w:rsidRPr="00116F6D">
        <w:rPr>
          <w:b/>
          <w:bCs/>
          <w:sz w:val="22"/>
          <w:szCs w:val="22"/>
        </w:rPr>
        <w:t>Pytanie nr 9</w:t>
      </w:r>
      <w:r w:rsidR="004509AD" w:rsidRPr="00116F6D">
        <w:rPr>
          <w:b/>
          <w:bCs/>
          <w:sz w:val="22"/>
          <w:szCs w:val="22"/>
        </w:rPr>
        <w:br/>
      </w:r>
      <w:r w:rsidR="004509AD" w:rsidRPr="00116F6D">
        <w:rPr>
          <w:sz w:val="22"/>
          <w:szCs w:val="22"/>
        </w:rPr>
        <w:t>Wyjaśnienia z dnia 31.07.2023 - odp. Pytanie 57. Załącznik nr 2 do SWZ, SOPZ, Zakres 2; dostawa oprogramowania, System HIS, Oddział, "Powinna istnieć możliwość zdefiniowania, dla jednostki organizacyjnej, domyślnych paneli zleceń (szablonów), które będą przypisywane pacjentowi w momencie jego przyjęcia na oddział"</w:t>
      </w:r>
    </w:p>
    <w:p w14:paraId="28400747" w14:textId="77777777" w:rsidR="004509AD" w:rsidRPr="00116F6D" w:rsidRDefault="004509AD" w:rsidP="004509AD">
      <w:pPr>
        <w:jc w:val="both"/>
        <w:rPr>
          <w:sz w:val="22"/>
          <w:szCs w:val="22"/>
        </w:rPr>
      </w:pPr>
      <w:r w:rsidRPr="00116F6D">
        <w:rPr>
          <w:sz w:val="22"/>
          <w:szCs w:val="22"/>
        </w:rPr>
        <w:t>Czy Zamawiający uzna wymóg za spełniony w momencie, w którym jest w systemie możliwość zdefiniowania pakietu leków, a następnie jego zaordynowanie przez lekarza?</w:t>
      </w:r>
    </w:p>
    <w:p w14:paraId="3B63EF4F" w14:textId="77777777" w:rsidR="004509AD" w:rsidRPr="00116F6D" w:rsidRDefault="004509AD" w:rsidP="004509AD">
      <w:pPr>
        <w:jc w:val="both"/>
        <w:rPr>
          <w:sz w:val="22"/>
          <w:szCs w:val="22"/>
        </w:rPr>
      </w:pPr>
      <w:r w:rsidRPr="00116F6D">
        <w:rPr>
          <w:sz w:val="22"/>
          <w:szCs w:val="22"/>
        </w:rPr>
        <w:t>ODP: Zgodnie z SWZ.</w:t>
      </w:r>
    </w:p>
    <w:p w14:paraId="03E06C3D" w14:textId="77777777" w:rsidR="004509AD" w:rsidRPr="00116F6D" w:rsidRDefault="004509AD" w:rsidP="004509AD">
      <w:pPr>
        <w:jc w:val="both"/>
        <w:rPr>
          <w:sz w:val="22"/>
          <w:szCs w:val="22"/>
        </w:rPr>
      </w:pPr>
      <w:r w:rsidRPr="00116F6D">
        <w:rPr>
          <w:b/>
          <w:bCs/>
          <w:sz w:val="22"/>
          <w:szCs w:val="22"/>
        </w:rPr>
        <w:t>SWZ nie zawiera odpowiedzi na zadane pytanie a jest trywialne, ponieważ Zamawiający znakomicie wie kto może w polskim systemie prawnym co zlecać. Prosimy niniejszym o udzielenie odpowiedzi na pytanie czy wystarczającym będzie mechanizm zlecania pakietów badań i pakietów leków, które będą w systemie konfigurowane, następnie przez system podpowiadane użytkownikowi w procesie ordynowania zleceń?</w:t>
      </w:r>
    </w:p>
    <w:p w14:paraId="7389C335" w14:textId="0EBD677D"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260700A0" w14:textId="77777777" w:rsidR="007B0F45" w:rsidRPr="00116F6D" w:rsidRDefault="007B0F45" w:rsidP="007B0F45">
      <w:pPr>
        <w:spacing w:after="40"/>
        <w:ind w:left="30" w:right="-72"/>
        <w:rPr>
          <w:b/>
          <w:bCs/>
          <w:sz w:val="22"/>
          <w:szCs w:val="22"/>
        </w:rPr>
      </w:pPr>
    </w:p>
    <w:p w14:paraId="5AE9A02D" w14:textId="0FE89BF9" w:rsidR="004509AD" w:rsidRPr="00116F6D" w:rsidRDefault="007B0F45" w:rsidP="004509AD">
      <w:pPr>
        <w:spacing w:before="60" w:after="60"/>
        <w:ind w:left="30" w:right="-72"/>
        <w:rPr>
          <w:b/>
          <w:bCs/>
          <w:sz w:val="22"/>
          <w:szCs w:val="22"/>
        </w:rPr>
      </w:pPr>
      <w:r w:rsidRPr="00116F6D">
        <w:rPr>
          <w:b/>
          <w:bCs/>
          <w:sz w:val="22"/>
          <w:szCs w:val="22"/>
        </w:rPr>
        <w:t>Pytanie nr 10</w:t>
      </w:r>
      <w:r w:rsidR="004509AD" w:rsidRPr="00116F6D">
        <w:rPr>
          <w:b/>
          <w:bCs/>
          <w:sz w:val="22"/>
          <w:szCs w:val="22"/>
        </w:rPr>
        <w:br/>
      </w:r>
      <w:r w:rsidR="004509AD" w:rsidRPr="00116F6D">
        <w:rPr>
          <w:sz w:val="22"/>
          <w:szCs w:val="22"/>
        </w:rPr>
        <w:t>Wyjaśnienia z dnia 31.07.2023 - odp. Pytanie 324. Załącznik nr 4 Wzór umowy §14 ust, 6 Wykonawca oświadcza i gwarantuje, że warunki korzystania z Oprogramowania nie wymagają ponoszenia dodatkowych opłat na rzecz Wykonawcy lub producentów takiego Oprogramowania. Wynagrodzenie obejmuje całość wynagrodzenia za korzystanie z Oprogramowania.</w:t>
      </w:r>
    </w:p>
    <w:p w14:paraId="4FB2BAA9" w14:textId="77777777" w:rsidR="004509AD" w:rsidRPr="00116F6D" w:rsidRDefault="004509AD" w:rsidP="004509AD">
      <w:pPr>
        <w:jc w:val="both"/>
        <w:rPr>
          <w:sz w:val="22"/>
          <w:szCs w:val="22"/>
        </w:rPr>
      </w:pPr>
      <w:r w:rsidRPr="00116F6D">
        <w:rPr>
          <w:sz w:val="22"/>
          <w:szCs w:val="22"/>
        </w:rPr>
        <w:t>Wykonawca wnosi o potwierdzenie, że powyższe zobowiązanie dotyczy okresu, w którym Oprogramowania pozostaje w okresie gwarancji.</w:t>
      </w:r>
    </w:p>
    <w:p w14:paraId="16AFB6D8" w14:textId="77777777" w:rsidR="004509AD" w:rsidRPr="00116F6D" w:rsidRDefault="004509AD" w:rsidP="004509AD">
      <w:pPr>
        <w:jc w:val="both"/>
        <w:rPr>
          <w:sz w:val="22"/>
          <w:szCs w:val="22"/>
        </w:rPr>
      </w:pPr>
      <w:r w:rsidRPr="00116F6D">
        <w:rPr>
          <w:sz w:val="22"/>
          <w:szCs w:val="22"/>
        </w:rPr>
        <w:t>ODP: Jak SWZ.</w:t>
      </w:r>
    </w:p>
    <w:p w14:paraId="6E0640F3" w14:textId="77777777" w:rsidR="004509AD" w:rsidRPr="00116F6D" w:rsidRDefault="004509AD" w:rsidP="004509AD">
      <w:pPr>
        <w:jc w:val="both"/>
        <w:rPr>
          <w:b/>
          <w:bCs/>
          <w:sz w:val="22"/>
          <w:szCs w:val="22"/>
        </w:rPr>
      </w:pPr>
      <w:r w:rsidRPr="00116F6D">
        <w:rPr>
          <w:b/>
          <w:bCs/>
          <w:sz w:val="22"/>
          <w:szCs w:val="22"/>
        </w:rPr>
        <w:t xml:space="preserve">Wykonawca ponownie wnosi o udzielenie odpowiedzi na zadane pytanie w szczególności prosimy o potwierdzenie, że po okresie gwarancji Wykonawca będzie uprawniony do pobierania wynagrodzenia za świadczenia serwisowe i związane z utrzymaniem oprogramowania w wersjach zgodnych z aktualnym stanem prawnym. </w:t>
      </w:r>
    </w:p>
    <w:p w14:paraId="77BDA0E9" w14:textId="5EE2BFD4"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7BE78C45" w14:textId="5E87C532" w:rsidR="004509AD" w:rsidRPr="00116F6D" w:rsidRDefault="007B0F45" w:rsidP="004509AD">
      <w:pPr>
        <w:spacing w:before="60" w:after="60"/>
        <w:ind w:left="30" w:right="-72"/>
        <w:rPr>
          <w:b/>
          <w:bCs/>
          <w:sz w:val="22"/>
          <w:szCs w:val="22"/>
        </w:rPr>
      </w:pPr>
      <w:r w:rsidRPr="00116F6D">
        <w:rPr>
          <w:b/>
          <w:bCs/>
          <w:sz w:val="22"/>
          <w:szCs w:val="22"/>
        </w:rPr>
        <w:br/>
        <w:t>Pytanie nr 11</w:t>
      </w:r>
      <w:r w:rsidR="004509AD" w:rsidRPr="00116F6D">
        <w:rPr>
          <w:b/>
          <w:bCs/>
          <w:sz w:val="22"/>
          <w:szCs w:val="22"/>
        </w:rPr>
        <w:br/>
      </w:r>
      <w:r w:rsidR="004509AD" w:rsidRPr="00116F6D">
        <w:rPr>
          <w:sz w:val="22"/>
          <w:szCs w:val="22"/>
        </w:rPr>
        <w:t>Wyjaśnienia treści SWZ z dn. 31.07.2023, Pytanie nr 11 Załącznik nr 2 OPZ Słownik pojęć pkt. 10. Backup</w:t>
      </w:r>
    </w:p>
    <w:p w14:paraId="7CFD2135" w14:textId="77777777" w:rsidR="004509AD" w:rsidRPr="00116F6D" w:rsidRDefault="004509AD" w:rsidP="004509AD">
      <w:pPr>
        <w:spacing w:after="160" w:line="259" w:lineRule="auto"/>
        <w:jc w:val="both"/>
        <w:rPr>
          <w:sz w:val="22"/>
          <w:szCs w:val="22"/>
        </w:rPr>
      </w:pPr>
      <w:r w:rsidRPr="00116F6D">
        <w:rPr>
          <w:sz w:val="22"/>
          <w:szCs w:val="22"/>
        </w:rPr>
        <w:t>Odpowiedź: Zamawiający potwierdza – z zastrzeżeniem że w przypadku kiedy standardowa procedura odtworzenia Bazy Danych dostarczona przez Wykonawcę nie będzie działać to Wykonawca dokona przywrócenia nie obciążając Zamawiającego dodatkowymi kosztami z tego tytułu.</w:t>
      </w:r>
    </w:p>
    <w:p w14:paraId="15EFEF0F" w14:textId="77777777" w:rsidR="004509AD" w:rsidRPr="00116F6D" w:rsidRDefault="004509AD" w:rsidP="004509AD">
      <w:pPr>
        <w:spacing w:after="160" w:line="259" w:lineRule="auto"/>
        <w:jc w:val="both"/>
        <w:rPr>
          <w:b/>
          <w:sz w:val="22"/>
          <w:szCs w:val="22"/>
        </w:rPr>
      </w:pPr>
      <w:r w:rsidRPr="00116F6D">
        <w:rPr>
          <w:b/>
          <w:sz w:val="22"/>
          <w:szCs w:val="22"/>
        </w:rPr>
        <w:t>Odpowiedź udzielona przez Zamawiającego de facto ceduje na Wykonawcę obowiązek odtworzenia i przywrócenia Bazy Danych w przypadku utraty danych, co w przypadku gdy zawiedzie standardowa procedura odtworzenia, niejednokrotnie wymaga interwencji specjalistycznych firm. Pytający prosi o potwierdzenie, że odtworzenie bazy danych po awarii nie jest obowiązkiem Wykonawcy bądź, że Wykonawca będzie uprawniony do odrębnej wyceny tych działań.</w:t>
      </w:r>
    </w:p>
    <w:p w14:paraId="77744545" w14:textId="02E4B498"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33AACAA7" w14:textId="00BCA4C0" w:rsidR="004509AD" w:rsidRPr="00116F6D" w:rsidRDefault="007B0F45" w:rsidP="004509AD">
      <w:pPr>
        <w:spacing w:before="60" w:after="60"/>
        <w:ind w:left="30" w:right="-72"/>
        <w:rPr>
          <w:b/>
          <w:bCs/>
          <w:sz w:val="22"/>
          <w:szCs w:val="22"/>
        </w:rPr>
      </w:pPr>
      <w:r w:rsidRPr="00116F6D">
        <w:rPr>
          <w:b/>
          <w:bCs/>
          <w:sz w:val="22"/>
          <w:szCs w:val="22"/>
        </w:rPr>
        <w:br/>
        <w:t>Pytanie nr 12</w:t>
      </w:r>
      <w:r w:rsidR="004509AD" w:rsidRPr="00116F6D">
        <w:rPr>
          <w:b/>
          <w:bCs/>
          <w:sz w:val="22"/>
          <w:szCs w:val="22"/>
        </w:rPr>
        <w:br/>
      </w:r>
      <w:r w:rsidR="004509AD" w:rsidRPr="00116F6D">
        <w:rPr>
          <w:sz w:val="22"/>
          <w:szCs w:val="22"/>
        </w:rPr>
        <w:t>Wyjaśnienia treści SWZ z dn. 31.07.2023, Pytanie 18 Załącznik nr 2 OPZ Zakres 6 – Gwarancja i serwis Wykonawca zobowiązuje się do aktualizacji dokumentacji Użytkownika i/lub Administratora</w:t>
      </w:r>
    </w:p>
    <w:p w14:paraId="3A2D4069" w14:textId="77777777" w:rsidR="004509AD" w:rsidRPr="00116F6D" w:rsidRDefault="004509AD" w:rsidP="004509AD">
      <w:pPr>
        <w:spacing w:after="160" w:line="259" w:lineRule="auto"/>
        <w:jc w:val="both"/>
        <w:rPr>
          <w:sz w:val="22"/>
          <w:szCs w:val="22"/>
        </w:rPr>
      </w:pPr>
      <w:r w:rsidRPr="00116F6D">
        <w:rPr>
          <w:sz w:val="22"/>
          <w:szCs w:val="22"/>
        </w:rPr>
        <w:t xml:space="preserve">Odpowiedź: W przypadku kiedy Wykonawca dostarczy dodatek zmieniający Obszar systemu i udostępni dokumentację do dodatku a w przypadku konieczności przeszkolenia użytkowników w </w:t>
      </w:r>
      <w:r w:rsidRPr="00116F6D">
        <w:rPr>
          <w:sz w:val="22"/>
          <w:szCs w:val="22"/>
        </w:rPr>
        <w:lastRenderedPageBreak/>
        <w:t>związku ze zmianą funkcjonalności systemu dostarczy materiały i przeszkoli użytkowników wykonawca uzna warunek za spełniony.</w:t>
      </w:r>
    </w:p>
    <w:p w14:paraId="750CCA84" w14:textId="77777777" w:rsidR="004509AD" w:rsidRPr="00116F6D" w:rsidRDefault="004509AD" w:rsidP="004509AD">
      <w:pPr>
        <w:spacing w:after="160" w:line="259" w:lineRule="auto"/>
        <w:jc w:val="both"/>
        <w:rPr>
          <w:b/>
          <w:sz w:val="22"/>
          <w:szCs w:val="22"/>
        </w:rPr>
      </w:pPr>
      <w:r w:rsidRPr="00116F6D">
        <w:rPr>
          <w:b/>
          <w:sz w:val="22"/>
          <w:szCs w:val="22"/>
        </w:rPr>
        <w:t>Według jakich kryteriów Zamawiający oceniać będzie konieczność przeszkolenia użytkowników? Ponieważ na tym etapie nie możemy przewidzieć liczby aktualizacji dokumentacji, będącej także efektem wprowadzanych zmian legislacyjnych, prosimy o potwierdzenie, że szkolenia będą odbywać się z godzin rozwojowych.</w:t>
      </w:r>
    </w:p>
    <w:p w14:paraId="0255B7D2" w14:textId="27738F21"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2D799AB4" w14:textId="08FB0879" w:rsidR="007B0F45" w:rsidRPr="00116F6D" w:rsidRDefault="007B0F45" w:rsidP="00833948">
      <w:pPr>
        <w:ind w:left="28" w:right="-74"/>
        <w:rPr>
          <w:b/>
          <w:bCs/>
          <w:sz w:val="22"/>
          <w:szCs w:val="22"/>
        </w:rPr>
      </w:pPr>
      <w:r w:rsidRPr="00116F6D">
        <w:rPr>
          <w:b/>
          <w:bCs/>
          <w:sz w:val="22"/>
          <w:szCs w:val="22"/>
        </w:rPr>
        <w:br/>
        <w:t>Pytanie nr 13</w:t>
      </w:r>
    </w:p>
    <w:p w14:paraId="18A778D6" w14:textId="77777777" w:rsidR="004509AD" w:rsidRPr="00116F6D" w:rsidRDefault="004509AD" w:rsidP="00833948">
      <w:pPr>
        <w:jc w:val="both"/>
        <w:rPr>
          <w:sz w:val="22"/>
          <w:szCs w:val="22"/>
        </w:rPr>
      </w:pPr>
      <w:r w:rsidRPr="00116F6D">
        <w:rPr>
          <w:sz w:val="22"/>
          <w:szCs w:val="22"/>
        </w:rPr>
        <w:t xml:space="preserve">Dot. wyjaśnień Zamawiającego z dnia 31.07.2023 r., tj. </w:t>
      </w:r>
    </w:p>
    <w:p w14:paraId="6BD36323" w14:textId="77777777" w:rsidR="004509AD" w:rsidRPr="00116F6D" w:rsidRDefault="004509AD" w:rsidP="004509AD">
      <w:pPr>
        <w:spacing w:after="160" w:line="259" w:lineRule="auto"/>
        <w:contextualSpacing/>
        <w:jc w:val="both"/>
        <w:rPr>
          <w:sz w:val="22"/>
          <w:szCs w:val="22"/>
        </w:rPr>
      </w:pPr>
      <w:r w:rsidRPr="00116F6D">
        <w:rPr>
          <w:sz w:val="22"/>
          <w:szCs w:val="22"/>
        </w:rPr>
        <w:t xml:space="preserve">„Pytanie 298. SWZ. Ponieważ Zamawiający nie przewiduje procedury weryfikacji oferowanego przez Wykonawców przedmiotu zamówienia z wymaganiami opisanymi w załączniku nr 2 do SWZ – OPZ, prosimy o potwierdzenie, że Zamawiający wymaga wskazania w ofercie nazw, producentów i part </w:t>
      </w:r>
      <w:proofErr w:type="spellStart"/>
      <w:r w:rsidRPr="00116F6D">
        <w:rPr>
          <w:sz w:val="22"/>
          <w:szCs w:val="22"/>
        </w:rPr>
        <w:t>number</w:t>
      </w:r>
      <w:proofErr w:type="spellEnd"/>
      <w:r w:rsidRPr="00116F6D">
        <w:rPr>
          <w:sz w:val="22"/>
          <w:szCs w:val="22"/>
        </w:rPr>
        <w:t>-ów oferowanych urządzeń oraz nazw i producentów oferowanych Systemów oraz w konsekwencji dokumentów przedmiotowych odnoszących się do oferowanego sprzętu. Ponadto zgodnie z zapisem załącznika nr 2 do SWZ – OPZ, str. 13, tj. „</w:t>
      </w:r>
      <w:r w:rsidRPr="00116F6D">
        <w:rPr>
          <w:i/>
          <w:sz w:val="22"/>
          <w:szCs w:val="22"/>
        </w:rPr>
        <w:t>W przypadku gdy do realizacji Przedmiotu Zamówienia wymagany jest sprzęt/oprogramowanie/licencje nie ujęte w poniższym zestawieniu Wykonawca musi go dostarczyć i wykazać w wykazie asortymentowo-cenowym.</w:t>
      </w:r>
    </w:p>
    <w:p w14:paraId="278F14CD" w14:textId="77777777" w:rsidR="004509AD" w:rsidRPr="00116F6D" w:rsidRDefault="004509AD" w:rsidP="004509AD">
      <w:pPr>
        <w:spacing w:after="160" w:line="259" w:lineRule="auto"/>
        <w:ind w:left="720"/>
        <w:contextualSpacing/>
        <w:jc w:val="both"/>
        <w:rPr>
          <w:sz w:val="22"/>
          <w:szCs w:val="22"/>
        </w:rPr>
      </w:pPr>
    </w:p>
    <w:p w14:paraId="371DC348" w14:textId="77777777" w:rsidR="004509AD" w:rsidRPr="00116F6D" w:rsidRDefault="004509AD" w:rsidP="004509AD">
      <w:pPr>
        <w:spacing w:after="160" w:line="259" w:lineRule="auto"/>
        <w:contextualSpacing/>
        <w:jc w:val="both"/>
        <w:rPr>
          <w:sz w:val="22"/>
          <w:szCs w:val="22"/>
        </w:rPr>
      </w:pPr>
      <w:r w:rsidRPr="00116F6D">
        <w:rPr>
          <w:sz w:val="22"/>
          <w:szCs w:val="22"/>
        </w:rPr>
        <w:t>Zamawiający potwierdza.”</w:t>
      </w:r>
    </w:p>
    <w:p w14:paraId="0BD96D96" w14:textId="77777777" w:rsidR="004509AD" w:rsidRPr="00116F6D" w:rsidRDefault="004509AD" w:rsidP="004509AD">
      <w:pPr>
        <w:spacing w:after="160" w:line="259" w:lineRule="auto"/>
        <w:ind w:left="720"/>
        <w:contextualSpacing/>
        <w:jc w:val="both"/>
        <w:rPr>
          <w:sz w:val="22"/>
          <w:szCs w:val="22"/>
        </w:rPr>
      </w:pPr>
    </w:p>
    <w:p w14:paraId="2F4DD176" w14:textId="77777777" w:rsidR="004509AD" w:rsidRPr="00116F6D" w:rsidRDefault="004509AD" w:rsidP="004509AD">
      <w:pPr>
        <w:spacing w:after="160" w:line="259" w:lineRule="auto"/>
        <w:contextualSpacing/>
        <w:jc w:val="both"/>
        <w:rPr>
          <w:b/>
          <w:sz w:val="22"/>
          <w:szCs w:val="22"/>
        </w:rPr>
      </w:pPr>
      <w:r w:rsidRPr="00116F6D">
        <w:rPr>
          <w:b/>
          <w:sz w:val="22"/>
          <w:szCs w:val="22"/>
        </w:rPr>
        <w:t xml:space="preserve">Ponieważ zgodnie z art. 106 ust. 1 ustawy </w:t>
      </w:r>
      <w:proofErr w:type="spellStart"/>
      <w:r w:rsidRPr="00116F6D">
        <w:rPr>
          <w:b/>
          <w:sz w:val="22"/>
          <w:szCs w:val="22"/>
        </w:rPr>
        <w:t>Pzp</w:t>
      </w:r>
      <w:proofErr w:type="spellEnd"/>
      <w:r w:rsidRPr="00116F6D">
        <w:rPr>
          <w:b/>
          <w:sz w:val="22"/>
          <w:szCs w:val="22"/>
        </w:rPr>
        <w:t>, „</w:t>
      </w:r>
      <w:r w:rsidRPr="00116F6D">
        <w:rPr>
          <w:b/>
          <w:i/>
          <w:sz w:val="22"/>
          <w:szCs w:val="22"/>
        </w:rPr>
        <w:t>Zamawiający wskazuje wymagane przedmiotowe środki dowodowe w ogłoszeniu o zamówieniu lub dokumentach zamówienia</w:t>
      </w:r>
      <w:r w:rsidRPr="00116F6D">
        <w:rPr>
          <w:b/>
          <w:sz w:val="22"/>
          <w:szCs w:val="22"/>
        </w:rPr>
        <w:t>”, prosimy o doprecyzowanie, że w wyniku udzielonej odpowiedzi w zakresie przedmiotowych środków dowodowych odnoszących się do oferowanego sprzętu, Wykonawca składa wraz z ofertą jedynie następujące dokumenty dotyczące stanowisk roboczych stacjonarnych (Komputer – 10 szt.):</w:t>
      </w:r>
    </w:p>
    <w:p w14:paraId="576957A9" w14:textId="77777777" w:rsidR="004509AD" w:rsidRPr="00116F6D" w:rsidRDefault="004509AD" w:rsidP="004509AD">
      <w:pPr>
        <w:spacing w:after="160" w:line="259" w:lineRule="auto"/>
        <w:contextualSpacing/>
        <w:jc w:val="both"/>
        <w:rPr>
          <w:b/>
          <w:sz w:val="22"/>
          <w:szCs w:val="22"/>
        </w:rPr>
      </w:pPr>
      <w:r w:rsidRPr="00116F6D">
        <w:rPr>
          <w:b/>
          <w:sz w:val="22"/>
          <w:szCs w:val="22"/>
        </w:rPr>
        <w:t>- Certyfikat ISO 9001 dla producenta sprzętu,</w:t>
      </w:r>
    </w:p>
    <w:p w14:paraId="7F54C648" w14:textId="77777777" w:rsidR="004509AD" w:rsidRPr="00116F6D" w:rsidRDefault="004509AD" w:rsidP="004509AD">
      <w:pPr>
        <w:spacing w:after="160" w:line="259" w:lineRule="auto"/>
        <w:contextualSpacing/>
        <w:jc w:val="both"/>
        <w:rPr>
          <w:b/>
          <w:sz w:val="22"/>
          <w:szCs w:val="22"/>
        </w:rPr>
      </w:pPr>
      <w:r w:rsidRPr="00116F6D">
        <w:rPr>
          <w:b/>
          <w:sz w:val="22"/>
          <w:szCs w:val="22"/>
        </w:rPr>
        <w:t xml:space="preserve">- Deklaracja zgodności CE, </w:t>
      </w:r>
    </w:p>
    <w:p w14:paraId="7247BAD4" w14:textId="77777777" w:rsidR="004509AD" w:rsidRPr="00116F6D" w:rsidRDefault="004509AD" w:rsidP="004509AD">
      <w:pPr>
        <w:spacing w:after="160" w:line="259" w:lineRule="auto"/>
        <w:contextualSpacing/>
        <w:jc w:val="both"/>
        <w:rPr>
          <w:b/>
          <w:sz w:val="22"/>
          <w:szCs w:val="22"/>
        </w:rPr>
      </w:pPr>
      <w:r w:rsidRPr="00116F6D">
        <w:rPr>
          <w:b/>
          <w:sz w:val="22"/>
          <w:szCs w:val="22"/>
        </w:rPr>
        <w:t>- Komputer musi spełniać wymogi normy Energy Star 8.0 - wymagany certyfikat lub wpis dotyczący oferowanego modelu komputera w internetowym katalogu http://www.energystar.gov,</w:t>
      </w:r>
    </w:p>
    <w:p w14:paraId="44D74ED3" w14:textId="77777777" w:rsidR="004509AD" w:rsidRPr="00116F6D" w:rsidRDefault="004509AD" w:rsidP="004509AD">
      <w:pPr>
        <w:spacing w:after="160" w:line="259" w:lineRule="auto"/>
        <w:contextualSpacing/>
        <w:jc w:val="both"/>
        <w:rPr>
          <w:b/>
          <w:sz w:val="22"/>
          <w:szCs w:val="22"/>
        </w:rPr>
      </w:pPr>
      <w:r w:rsidRPr="00116F6D">
        <w:rPr>
          <w:b/>
          <w:sz w:val="22"/>
          <w:szCs w:val="22"/>
        </w:rPr>
        <w:t xml:space="preserve">- Komputer musi spełniać wymogi normy EPEAT na poziomie min GOLD - wymagany certyfikat lub wpis dotyczący oferowanego modelu komputera w internetowym katalogu </w:t>
      </w:r>
      <w:hyperlink r:id="rId11" w:history="1">
        <w:r w:rsidRPr="00116F6D">
          <w:rPr>
            <w:b/>
            <w:color w:val="0563C1" w:themeColor="hyperlink"/>
            <w:sz w:val="22"/>
            <w:szCs w:val="22"/>
            <w:u w:val="single"/>
          </w:rPr>
          <w:t>http://www.epeat.net</w:t>
        </w:r>
      </w:hyperlink>
    </w:p>
    <w:p w14:paraId="12F7DF94" w14:textId="77777777" w:rsidR="004509AD" w:rsidRPr="00116F6D" w:rsidRDefault="004509AD" w:rsidP="004509AD">
      <w:pPr>
        <w:spacing w:after="160" w:line="259" w:lineRule="auto"/>
        <w:contextualSpacing/>
        <w:jc w:val="both"/>
        <w:rPr>
          <w:b/>
          <w:sz w:val="22"/>
          <w:szCs w:val="22"/>
        </w:rPr>
      </w:pPr>
      <w:r w:rsidRPr="00116F6D">
        <w:rPr>
          <w:b/>
          <w:sz w:val="22"/>
          <w:szCs w:val="22"/>
        </w:rPr>
        <w:t>Pozostawienie zapisu w obecnym brzmieniu bez dodatkowych wyjaśnień powoduje, ze wykonawcy de facto nie wiedzą jakich konkretnie dokumentów Zamawiający żąda.</w:t>
      </w:r>
    </w:p>
    <w:p w14:paraId="2D30B3B3" w14:textId="0FE87EA1"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406AAF5F" w14:textId="60DF34CA" w:rsidR="007B0F45" w:rsidRPr="00116F6D" w:rsidRDefault="007B0F45" w:rsidP="00BA4867">
      <w:pPr>
        <w:ind w:left="30" w:right="-72"/>
        <w:rPr>
          <w:b/>
          <w:bCs/>
          <w:sz w:val="22"/>
          <w:szCs w:val="22"/>
        </w:rPr>
      </w:pPr>
      <w:r w:rsidRPr="00116F6D">
        <w:rPr>
          <w:b/>
          <w:bCs/>
          <w:sz w:val="22"/>
          <w:szCs w:val="22"/>
        </w:rPr>
        <w:br/>
        <w:t>Pytanie nr 14</w:t>
      </w:r>
    </w:p>
    <w:p w14:paraId="361FC9B4" w14:textId="77777777" w:rsidR="004509AD" w:rsidRPr="00116F6D" w:rsidRDefault="004509AD" w:rsidP="00BA4867">
      <w:pPr>
        <w:jc w:val="both"/>
        <w:rPr>
          <w:sz w:val="22"/>
          <w:szCs w:val="22"/>
        </w:rPr>
      </w:pPr>
      <w:r w:rsidRPr="00116F6D">
        <w:rPr>
          <w:sz w:val="22"/>
          <w:szCs w:val="22"/>
        </w:rPr>
        <w:t xml:space="preserve">Dot. wyjaśnień z dnia 31.07.2023 r., 186 Załącznik nr 2 do SWZ, SOPZ, Zakres 2; dostawa oprogramowania, System HIS, Dokumentacja Medyczna </w:t>
      </w:r>
      <w:proofErr w:type="spellStart"/>
      <w:r w:rsidRPr="00116F6D">
        <w:rPr>
          <w:sz w:val="22"/>
          <w:szCs w:val="22"/>
        </w:rPr>
        <w:t>eZlecenie</w:t>
      </w:r>
      <w:proofErr w:type="spellEnd"/>
      <w:r w:rsidRPr="00116F6D">
        <w:rPr>
          <w:sz w:val="22"/>
          <w:szCs w:val="22"/>
        </w:rPr>
        <w:t>, "System musi umożliwiać wystawienie pacjentowi e-Zlecenie zarówno do jednostki wewnętrznej szpitala jak również do innego podmiotu medycznego"</w:t>
      </w:r>
    </w:p>
    <w:p w14:paraId="7C89C160" w14:textId="77777777" w:rsidR="004509AD" w:rsidRPr="00116F6D" w:rsidRDefault="004509AD" w:rsidP="004509AD">
      <w:pPr>
        <w:spacing w:before="120" w:after="120"/>
        <w:jc w:val="both"/>
        <w:rPr>
          <w:sz w:val="22"/>
          <w:szCs w:val="22"/>
        </w:rPr>
      </w:pPr>
      <w:r w:rsidRPr="00116F6D">
        <w:rPr>
          <w:sz w:val="22"/>
          <w:szCs w:val="22"/>
        </w:rPr>
        <w:t xml:space="preserve">Czy Zamawiający uzna punkt za spełniony gdy system będzie umożliwiał realizację </w:t>
      </w:r>
      <w:proofErr w:type="spellStart"/>
      <w:r w:rsidRPr="00116F6D">
        <w:rPr>
          <w:sz w:val="22"/>
          <w:szCs w:val="22"/>
        </w:rPr>
        <w:t>eSkierowania</w:t>
      </w:r>
      <w:proofErr w:type="spellEnd"/>
      <w:r w:rsidRPr="00116F6D">
        <w:rPr>
          <w:sz w:val="22"/>
          <w:szCs w:val="22"/>
        </w:rPr>
        <w:t xml:space="preserve"> na badania diagnostyczne ? Jeśli nie to prosimy o doprecyzowanie punktu w zakresie nomenklatury </w:t>
      </w:r>
      <w:proofErr w:type="spellStart"/>
      <w:r w:rsidRPr="00116F6D">
        <w:rPr>
          <w:sz w:val="22"/>
          <w:szCs w:val="22"/>
        </w:rPr>
        <w:t>eZlecenia</w:t>
      </w:r>
      <w:proofErr w:type="spellEnd"/>
      <w:r w:rsidRPr="00116F6D">
        <w:rPr>
          <w:sz w:val="22"/>
          <w:szCs w:val="22"/>
        </w:rPr>
        <w:t>, która na ten moment może mieć co najmniej 3 różne definicje.</w:t>
      </w:r>
    </w:p>
    <w:p w14:paraId="7BD3B99E" w14:textId="77777777" w:rsidR="004509AD" w:rsidRPr="00116F6D" w:rsidRDefault="004509AD" w:rsidP="004509AD">
      <w:pPr>
        <w:spacing w:before="120" w:after="120"/>
        <w:jc w:val="both"/>
        <w:rPr>
          <w:sz w:val="22"/>
          <w:szCs w:val="22"/>
        </w:rPr>
      </w:pPr>
      <w:r w:rsidRPr="00116F6D">
        <w:rPr>
          <w:sz w:val="22"/>
          <w:szCs w:val="22"/>
        </w:rPr>
        <w:t xml:space="preserve">Zamawiający doprecyzowuje – </w:t>
      </w:r>
      <w:proofErr w:type="spellStart"/>
      <w:r w:rsidRPr="00116F6D">
        <w:rPr>
          <w:sz w:val="22"/>
          <w:szCs w:val="22"/>
        </w:rPr>
        <w:t>eZlecenia</w:t>
      </w:r>
      <w:proofErr w:type="spellEnd"/>
      <w:r w:rsidRPr="00116F6D">
        <w:rPr>
          <w:sz w:val="22"/>
          <w:szCs w:val="22"/>
        </w:rPr>
        <w:t xml:space="preserve"> to wszystkie zlecenia wysyłane do wewnątrz jak i na zewnątrz szpitala w postaci elektronicznej.</w:t>
      </w:r>
    </w:p>
    <w:p w14:paraId="78636636" w14:textId="77777777" w:rsidR="004509AD" w:rsidRPr="00116F6D" w:rsidRDefault="004509AD" w:rsidP="004509AD">
      <w:pPr>
        <w:spacing w:before="120" w:after="120"/>
        <w:jc w:val="both"/>
        <w:rPr>
          <w:sz w:val="22"/>
          <w:szCs w:val="22"/>
        </w:rPr>
      </w:pPr>
      <w:r w:rsidRPr="00116F6D">
        <w:rPr>
          <w:sz w:val="22"/>
          <w:szCs w:val="22"/>
        </w:rPr>
        <w:lastRenderedPageBreak/>
        <w:t xml:space="preserve">187 Załącznik nr 2 do SWZ, SOPZ, Zakres 2; dostawa oprogramowania, System HIS, Dokumentacja Medyczna </w:t>
      </w:r>
      <w:proofErr w:type="spellStart"/>
      <w:r w:rsidRPr="00116F6D">
        <w:rPr>
          <w:sz w:val="22"/>
          <w:szCs w:val="22"/>
        </w:rPr>
        <w:t>eZlecenie</w:t>
      </w:r>
      <w:proofErr w:type="spellEnd"/>
      <w:r w:rsidRPr="00116F6D">
        <w:rPr>
          <w:sz w:val="22"/>
          <w:szCs w:val="22"/>
        </w:rPr>
        <w:t>, "System musi obsługiwać przyjmowanie e-Zleceń z innych podmiotów medycznych."</w:t>
      </w:r>
      <w:r w:rsidRPr="00116F6D">
        <w:rPr>
          <w:sz w:val="22"/>
          <w:szCs w:val="22"/>
        </w:rPr>
        <w:br/>
        <w:t xml:space="preserve">Czy Zamawiający uzna punkt za spełniony gdy system będzie umożliwiał realizację </w:t>
      </w:r>
      <w:proofErr w:type="spellStart"/>
      <w:r w:rsidRPr="00116F6D">
        <w:rPr>
          <w:sz w:val="22"/>
          <w:szCs w:val="22"/>
        </w:rPr>
        <w:t>eSkierowania</w:t>
      </w:r>
      <w:proofErr w:type="spellEnd"/>
      <w:r w:rsidRPr="00116F6D">
        <w:rPr>
          <w:sz w:val="22"/>
          <w:szCs w:val="22"/>
        </w:rPr>
        <w:t xml:space="preserve"> na badania diagnostyczne ? Jeśli nie to prosimy o doprecyzowanie punktu w zakresie nomenklatury </w:t>
      </w:r>
      <w:proofErr w:type="spellStart"/>
      <w:r w:rsidRPr="00116F6D">
        <w:rPr>
          <w:sz w:val="22"/>
          <w:szCs w:val="22"/>
        </w:rPr>
        <w:t>eZlecenia</w:t>
      </w:r>
      <w:proofErr w:type="spellEnd"/>
      <w:r w:rsidRPr="00116F6D">
        <w:rPr>
          <w:sz w:val="22"/>
          <w:szCs w:val="22"/>
        </w:rPr>
        <w:t>, która na ten moment może mieć co najmniej 3 różne definicje.</w:t>
      </w:r>
    </w:p>
    <w:p w14:paraId="1287FE6B" w14:textId="77777777" w:rsidR="004509AD" w:rsidRPr="00116F6D" w:rsidRDefault="004509AD" w:rsidP="004509AD">
      <w:pPr>
        <w:spacing w:before="120" w:after="120"/>
        <w:jc w:val="both"/>
        <w:rPr>
          <w:sz w:val="22"/>
          <w:szCs w:val="22"/>
        </w:rPr>
      </w:pPr>
      <w:r w:rsidRPr="00116F6D">
        <w:rPr>
          <w:sz w:val="22"/>
          <w:szCs w:val="22"/>
        </w:rPr>
        <w:t xml:space="preserve">ODP: Zamawiający doprecyzowuje – </w:t>
      </w:r>
      <w:proofErr w:type="spellStart"/>
      <w:r w:rsidRPr="00116F6D">
        <w:rPr>
          <w:sz w:val="22"/>
          <w:szCs w:val="22"/>
        </w:rPr>
        <w:t>eZlecenia</w:t>
      </w:r>
      <w:proofErr w:type="spellEnd"/>
      <w:r w:rsidRPr="00116F6D">
        <w:rPr>
          <w:sz w:val="22"/>
          <w:szCs w:val="22"/>
        </w:rPr>
        <w:t xml:space="preserve"> to wszystkie zlecenia wysyłane do wewnątrz jak i na zewnątrz szpitala w postaci elektronicznej.</w:t>
      </w:r>
    </w:p>
    <w:p w14:paraId="31A45521" w14:textId="77777777" w:rsidR="004509AD" w:rsidRPr="00116F6D" w:rsidRDefault="004509AD" w:rsidP="004509AD">
      <w:pPr>
        <w:spacing w:before="120" w:after="120"/>
        <w:jc w:val="both"/>
        <w:rPr>
          <w:kern w:val="2"/>
          <w:sz w:val="22"/>
          <w:szCs w:val="22"/>
          <w14:ligatures w14:val="standardContextual"/>
        </w:rPr>
      </w:pPr>
      <w:r w:rsidRPr="00116F6D">
        <w:rPr>
          <w:b/>
          <w:sz w:val="22"/>
          <w:szCs w:val="22"/>
        </w:rPr>
        <w:t>Wykonawca zwraca uwagę, że w systemie prawnym nie funkcjonuje pojęcie e-Zlecenia. Wykonawca nie ma możliwości stwierdzenia czy będzie w stanie wystawić/przyjąć</w:t>
      </w:r>
      <w:r w:rsidRPr="00116F6D">
        <w:rPr>
          <w:sz w:val="22"/>
          <w:szCs w:val="22"/>
        </w:rPr>
        <w:t xml:space="preserve"> </w:t>
      </w:r>
      <w:r w:rsidRPr="00116F6D">
        <w:rPr>
          <w:b/>
          <w:sz w:val="22"/>
          <w:szCs w:val="22"/>
        </w:rPr>
        <w:t>zewnętrzne zlecenia w nieznanych formatach od/do nieznanych systemów. Prosimy o potwierdzenie, że chodzi o zlecenia z podmiotów trzecich eksploatujących ten sam system HIS a w odniesieniu do innych HIS system ma posiadać taką możliwość, natomiast ewentualna integracja z systemem strony trzeciej będzie stanowiła przedmiot ewentualnego odrębnego zlecenia</w:t>
      </w:r>
      <w:r w:rsidRPr="00116F6D">
        <w:rPr>
          <w:kern w:val="2"/>
          <w:sz w:val="22"/>
          <w:szCs w:val="22"/>
          <w14:ligatures w14:val="standardContextual"/>
        </w:rPr>
        <w:t>.</w:t>
      </w:r>
    </w:p>
    <w:p w14:paraId="57D6A514" w14:textId="16E7E2B4"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FF1C7D">
        <w:rPr>
          <w:sz w:val="22"/>
          <w:szCs w:val="22"/>
        </w:rPr>
        <w:t>Zgodnie z SWZ</w:t>
      </w:r>
    </w:p>
    <w:p w14:paraId="2259CC4B" w14:textId="2EEEA72D" w:rsidR="00116F6D" w:rsidRPr="00116F6D" w:rsidRDefault="007B0F45" w:rsidP="00BA4867">
      <w:pPr>
        <w:ind w:left="30" w:right="-72"/>
        <w:rPr>
          <w:b/>
          <w:bCs/>
          <w:sz w:val="22"/>
          <w:szCs w:val="22"/>
        </w:rPr>
      </w:pPr>
      <w:r w:rsidRPr="00116F6D">
        <w:rPr>
          <w:b/>
          <w:bCs/>
          <w:sz w:val="22"/>
          <w:szCs w:val="22"/>
        </w:rPr>
        <w:br/>
      </w:r>
      <w:r w:rsidR="00116F6D" w:rsidRPr="00116F6D">
        <w:rPr>
          <w:b/>
          <w:bCs/>
          <w:sz w:val="22"/>
          <w:szCs w:val="22"/>
        </w:rPr>
        <w:t xml:space="preserve">Pytanie nr 15 </w:t>
      </w:r>
      <w:r w:rsidR="00116F6D" w:rsidRPr="00116F6D">
        <w:rPr>
          <w:sz w:val="22"/>
          <w:szCs w:val="22"/>
        </w:rPr>
        <w:t xml:space="preserve">Załącznik nr 2 OPZ – </w:t>
      </w:r>
      <w:r w:rsidR="00116F6D" w:rsidRPr="00116F6D">
        <w:rPr>
          <w:b/>
          <w:bCs/>
          <w:sz w:val="22"/>
          <w:szCs w:val="22"/>
        </w:rPr>
        <w:t>Stanowisko robocze stacjonarne – Obudowa:</w:t>
      </w:r>
    </w:p>
    <w:p w14:paraId="69FF1C74" w14:textId="77777777" w:rsidR="00116F6D" w:rsidRPr="00116F6D" w:rsidRDefault="00116F6D" w:rsidP="00BA4867">
      <w:pPr>
        <w:pStyle w:val="Tekstpodstawowy"/>
        <w:rPr>
          <w:sz w:val="22"/>
          <w:szCs w:val="22"/>
        </w:rPr>
      </w:pPr>
      <w:r w:rsidRPr="00116F6D">
        <w:rPr>
          <w:sz w:val="22"/>
          <w:szCs w:val="22"/>
        </w:rPr>
        <w:t>Prosimy Zamawiającego o dopuszczenie rozwiązania z wewnętrznym zasilaczem.</w:t>
      </w:r>
    </w:p>
    <w:p w14:paraId="7AF38BB8" w14:textId="2EC48C20" w:rsidR="00116F6D" w:rsidRPr="00116F6D" w:rsidRDefault="00116F6D" w:rsidP="00BA4867">
      <w:pPr>
        <w:pStyle w:val="Tekstpodstawowy"/>
        <w:rPr>
          <w:b/>
          <w:bCs/>
          <w:sz w:val="22"/>
          <w:szCs w:val="22"/>
        </w:rPr>
      </w:pPr>
      <w:r w:rsidRPr="00116F6D">
        <w:rPr>
          <w:b/>
          <w:bCs/>
          <w:sz w:val="22"/>
          <w:szCs w:val="22"/>
        </w:rPr>
        <w:t>Stanowisko (wyjaśnienie) Zamawiającego</w:t>
      </w:r>
      <w:r w:rsidR="005646EB">
        <w:rPr>
          <w:b/>
          <w:bCs/>
          <w:sz w:val="22"/>
          <w:szCs w:val="22"/>
        </w:rPr>
        <w:t xml:space="preserve">: </w:t>
      </w:r>
      <w:r w:rsidR="005646EB" w:rsidRPr="005646EB">
        <w:rPr>
          <w:sz w:val="22"/>
          <w:szCs w:val="22"/>
        </w:rPr>
        <w:t>Zamawiający dopuszcza powyższe rozwiązanie.</w:t>
      </w:r>
    </w:p>
    <w:p w14:paraId="5B8AD85D" w14:textId="77777777" w:rsidR="00116F6D" w:rsidRPr="00116F6D" w:rsidRDefault="00116F6D" w:rsidP="00116F6D">
      <w:pPr>
        <w:pStyle w:val="Tekstpodstawowy"/>
        <w:spacing w:before="178"/>
        <w:rPr>
          <w:sz w:val="22"/>
          <w:szCs w:val="22"/>
        </w:rPr>
      </w:pPr>
    </w:p>
    <w:p w14:paraId="6C43FC2A" w14:textId="281863AD" w:rsidR="00116F6D" w:rsidRPr="00116F6D" w:rsidRDefault="00116F6D" w:rsidP="00BA4867">
      <w:pPr>
        <w:jc w:val="both"/>
        <w:rPr>
          <w:b/>
          <w:bCs/>
          <w:sz w:val="22"/>
          <w:szCs w:val="22"/>
        </w:rPr>
      </w:pPr>
      <w:r w:rsidRPr="00116F6D">
        <w:rPr>
          <w:b/>
          <w:bCs/>
          <w:sz w:val="22"/>
          <w:szCs w:val="22"/>
        </w:rPr>
        <w:t xml:space="preserve">Pytanie nr 16 </w:t>
      </w:r>
      <w:r w:rsidRPr="00116F6D">
        <w:rPr>
          <w:sz w:val="22"/>
          <w:szCs w:val="22"/>
        </w:rPr>
        <w:t xml:space="preserve">Załącznik nr 2 OPZ – </w:t>
      </w:r>
      <w:r w:rsidRPr="00116F6D">
        <w:rPr>
          <w:b/>
          <w:bCs/>
          <w:sz w:val="22"/>
          <w:szCs w:val="22"/>
        </w:rPr>
        <w:t xml:space="preserve">Stanowisko robocze stacjonarne – </w:t>
      </w:r>
      <w:proofErr w:type="spellStart"/>
      <w:r w:rsidRPr="00116F6D">
        <w:rPr>
          <w:b/>
          <w:bCs/>
          <w:sz w:val="22"/>
          <w:szCs w:val="22"/>
        </w:rPr>
        <w:t>Obudow</w:t>
      </w:r>
      <w:proofErr w:type="spellEnd"/>
      <w:r w:rsidRPr="00116F6D">
        <w:rPr>
          <w:b/>
          <w:bCs/>
          <w:sz w:val="22"/>
          <w:szCs w:val="22"/>
        </w:rPr>
        <w:t xml:space="preserve"> Punkty dostępowe WLAN – 25 </w:t>
      </w:r>
      <w:proofErr w:type="spellStart"/>
      <w:r w:rsidRPr="00116F6D">
        <w:rPr>
          <w:b/>
          <w:bCs/>
          <w:sz w:val="22"/>
          <w:szCs w:val="22"/>
        </w:rPr>
        <w:t>szt</w:t>
      </w:r>
      <w:proofErr w:type="spellEnd"/>
      <w:r w:rsidRPr="00116F6D">
        <w:rPr>
          <w:b/>
          <w:bCs/>
          <w:sz w:val="22"/>
          <w:szCs w:val="22"/>
        </w:rPr>
        <w:t>:</w:t>
      </w:r>
    </w:p>
    <w:p w14:paraId="072DCDE0" w14:textId="77777777" w:rsidR="00116F6D" w:rsidRPr="00116F6D" w:rsidRDefault="00116F6D" w:rsidP="00BA4867">
      <w:pPr>
        <w:pStyle w:val="Tekstpodstawowy"/>
        <w:spacing w:before="178"/>
        <w:ind w:left="478"/>
        <w:rPr>
          <w:b/>
          <w:bCs/>
          <w:sz w:val="22"/>
          <w:szCs w:val="22"/>
        </w:rPr>
      </w:pPr>
      <w:r w:rsidRPr="00116F6D">
        <w:rPr>
          <w:i/>
          <w:iCs/>
          <w:sz w:val="22"/>
          <w:szCs w:val="22"/>
        </w:rPr>
        <w:t>Wymagane</w:t>
      </w:r>
      <w:r w:rsidRPr="00116F6D">
        <w:rPr>
          <w:i/>
          <w:iCs/>
          <w:spacing w:val="-8"/>
          <w:sz w:val="22"/>
          <w:szCs w:val="22"/>
        </w:rPr>
        <w:t xml:space="preserve"> </w:t>
      </w:r>
      <w:r w:rsidRPr="00116F6D">
        <w:rPr>
          <w:i/>
          <w:iCs/>
          <w:sz w:val="22"/>
          <w:szCs w:val="22"/>
        </w:rPr>
        <w:t>jest</w:t>
      </w:r>
      <w:r w:rsidRPr="00116F6D">
        <w:rPr>
          <w:i/>
          <w:iCs/>
          <w:spacing w:val="-6"/>
          <w:sz w:val="22"/>
          <w:szCs w:val="22"/>
        </w:rPr>
        <w:t xml:space="preserve"> </w:t>
      </w:r>
      <w:r w:rsidRPr="00116F6D">
        <w:rPr>
          <w:i/>
          <w:iCs/>
          <w:sz w:val="22"/>
          <w:szCs w:val="22"/>
        </w:rPr>
        <w:t>również</w:t>
      </w:r>
      <w:r w:rsidRPr="00116F6D">
        <w:rPr>
          <w:i/>
          <w:iCs/>
          <w:spacing w:val="-5"/>
          <w:sz w:val="22"/>
          <w:szCs w:val="22"/>
        </w:rPr>
        <w:t xml:space="preserve"> </w:t>
      </w:r>
      <w:r w:rsidRPr="00116F6D">
        <w:rPr>
          <w:i/>
          <w:iCs/>
          <w:sz w:val="22"/>
          <w:szCs w:val="22"/>
        </w:rPr>
        <w:t>przedłużenie</w:t>
      </w:r>
      <w:r w:rsidRPr="00116F6D">
        <w:rPr>
          <w:i/>
          <w:iCs/>
          <w:spacing w:val="-7"/>
          <w:sz w:val="22"/>
          <w:szCs w:val="22"/>
        </w:rPr>
        <w:t xml:space="preserve"> </w:t>
      </w:r>
      <w:r w:rsidRPr="00116F6D">
        <w:rPr>
          <w:i/>
          <w:iCs/>
          <w:sz w:val="22"/>
          <w:szCs w:val="22"/>
        </w:rPr>
        <w:t>serwisu</w:t>
      </w:r>
      <w:r w:rsidRPr="00116F6D">
        <w:rPr>
          <w:i/>
          <w:iCs/>
          <w:spacing w:val="-5"/>
          <w:sz w:val="22"/>
          <w:szCs w:val="22"/>
        </w:rPr>
        <w:t xml:space="preserve"> </w:t>
      </w:r>
      <w:r w:rsidRPr="00116F6D">
        <w:rPr>
          <w:i/>
          <w:iCs/>
          <w:sz w:val="22"/>
          <w:szCs w:val="22"/>
        </w:rPr>
        <w:t>dla</w:t>
      </w:r>
      <w:r w:rsidRPr="00116F6D">
        <w:rPr>
          <w:i/>
          <w:iCs/>
          <w:spacing w:val="-5"/>
          <w:sz w:val="22"/>
          <w:szCs w:val="22"/>
        </w:rPr>
        <w:t xml:space="preserve"> </w:t>
      </w:r>
      <w:r w:rsidRPr="00116F6D">
        <w:rPr>
          <w:i/>
          <w:iCs/>
          <w:sz w:val="22"/>
          <w:szCs w:val="22"/>
        </w:rPr>
        <w:t>posiadanych</w:t>
      </w:r>
      <w:r w:rsidRPr="00116F6D">
        <w:rPr>
          <w:i/>
          <w:iCs/>
          <w:spacing w:val="-5"/>
          <w:sz w:val="22"/>
          <w:szCs w:val="22"/>
        </w:rPr>
        <w:t xml:space="preserve"> </w:t>
      </w:r>
      <w:r w:rsidRPr="00116F6D">
        <w:rPr>
          <w:i/>
          <w:iCs/>
          <w:sz w:val="22"/>
          <w:szCs w:val="22"/>
        </w:rPr>
        <w:t>urządzeń</w:t>
      </w:r>
      <w:r w:rsidRPr="00116F6D">
        <w:rPr>
          <w:i/>
          <w:iCs/>
          <w:spacing w:val="-5"/>
          <w:sz w:val="22"/>
          <w:szCs w:val="22"/>
        </w:rPr>
        <w:t xml:space="preserve"> </w:t>
      </w:r>
      <w:r w:rsidRPr="00116F6D">
        <w:rPr>
          <w:i/>
          <w:iCs/>
          <w:spacing w:val="-2"/>
          <w:sz w:val="22"/>
          <w:szCs w:val="22"/>
        </w:rPr>
        <w:t>sieciowych:</w:t>
      </w:r>
    </w:p>
    <w:p w14:paraId="033FAC2C" w14:textId="77777777" w:rsidR="00116F6D" w:rsidRPr="00116F6D" w:rsidRDefault="00116F6D" w:rsidP="00BA4867">
      <w:pPr>
        <w:pStyle w:val="Akapitzlist"/>
        <w:widowControl w:val="0"/>
        <w:numPr>
          <w:ilvl w:val="1"/>
          <w:numId w:val="13"/>
        </w:numPr>
        <w:tabs>
          <w:tab w:val="left" w:pos="1199"/>
        </w:tabs>
        <w:autoSpaceDE w:val="0"/>
        <w:autoSpaceDN w:val="0"/>
        <w:spacing w:before="39" w:after="0" w:line="240" w:lineRule="auto"/>
        <w:ind w:hanging="361"/>
        <w:contextualSpacing w:val="0"/>
        <w:rPr>
          <w:rFonts w:ascii="Times New Roman" w:hAnsi="Times New Roman" w:cs="Times New Roman"/>
          <w:i/>
          <w:iCs/>
        </w:rPr>
      </w:pPr>
      <w:r w:rsidRPr="00116F6D">
        <w:rPr>
          <w:rFonts w:ascii="Times New Roman" w:hAnsi="Times New Roman" w:cs="Times New Roman"/>
          <w:i/>
          <w:iCs/>
        </w:rPr>
        <w:t>115</w:t>
      </w:r>
      <w:r w:rsidRPr="00116F6D">
        <w:rPr>
          <w:rFonts w:ascii="Times New Roman" w:hAnsi="Times New Roman" w:cs="Times New Roman"/>
          <w:i/>
          <w:iCs/>
          <w:spacing w:val="-2"/>
        </w:rPr>
        <w:t xml:space="preserve"> </w:t>
      </w:r>
      <w:r w:rsidRPr="00116F6D">
        <w:rPr>
          <w:rFonts w:ascii="Times New Roman" w:hAnsi="Times New Roman" w:cs="Times New Roman"/>
          <w:i/>
          <w:iCs/>
        </w:rPr>
        <w:t>szt.</w:t>
      </w:r>
      <w:r w:rsidRPr="00116F6D">
        <w:rPr>
          <w:rFonts w:ascii="Times New Roman" w:hAnsi="Times New Roman" w:cs="Times New Roman"/>
          <w:i/>
          <w:iCs/>
          <w:spacing w:val="-2"/>
        </w:rPr>
        <w:t xml:space="preserve"> </w:t>
      </w:r>
      <w:proofErr w:type="spellStart"/>
      <w:r w:rsidRPr="00116F6D">
        <w:rPr>
          <w:rFonts w:ascii="Times New Roman" w:hAnsi="Times New Roman" w:cs="Times New Roman"/>
          <w:i/>
          <w:iCs/>
        </w:rPr>
        <w:t>Huawei</w:t>
      </w:r>
      <w:proofErr w:type="spellEnd"/>
      <w:r w:rsidRPr="00116F6D">
        <w:rPr>
          <w:rFonts w:ascii="Times New Roman" w:hAnsi="Times New Roman" w:cs="Times New Roman"/>
          <w:i/>
          <w:iCs/>
          <w:spacing w:val="-1"/>
        </w:rPr>
        <w:t xml:space="preserve"> </w:t>
      </w:r>
      <w:r w:rsidRPr="00116F6D">
        <w:rPr>
          <w:rFonts w:ascii="Times New Roman" w:hAnsi="Times New Roman" w:cs="Times New Roman"/>
          <w:i/>
          <w:iCs/>
          <w:spacing w:val="-2"/>
        </w:rPr>
        <w:t>AP6050DN</w:t>
      </w:r>
    </w:p>
    <w:p w14:paraId="3CBCC463" w14:textId="77777777" w:rsidR="00116F6D" w:rsidRPr="00116F6D" w:rsidRDefault="00116F6D" w:rsidP="00BA4867">
      <w:pPr>
        <w:pStyle w:val="Akapitzlist"/>
        <w:widowControl w:val="0"/>
        <w:numPr>
          <w:ilvl w:val="1"/>
          <w:numId w:val="13"/>
        </w:numPr>
        <w:tabs>
          <w:tab w:val="left" w:pos="1199"/>
        </w:tabs>
        <w:autoSpaceDE w:val="0"/>
        <w:autoSpaceDN w:val="0"/>
        <w:spacing w:before="37" w:after="0" w:line="240" w:lineRule="auto"/>
        <w:ind w:hanging="361"/>
        <w:contextualSpacing w:val="0"/>
        <w:rPr>
          <w:rFonts w:ascii="Times New Roman" w:hAnsi="Times New Roman" w:cs="Times New Roman"/>
          <w:i/>
          <w:iCs/>
        </w:rPr>
      </w:pPr>
      <w:r w:rsidRPr="00116F6D">
        <w:rPr>
          <w:rFonts w:ascii="Times New Roman" w:hAnsi="Times New Roman" w:cs="Times New Roman"/>
          <w:i/>
          <w:iCs/>
        </w:rPr>
        <w:t>2</w:t>
      </w:r>
      <w:r w:rsidRPr="00116F6D">
        <w:rPr>
          <w:rFonts w:ascii="Times New Roman" w:hAnsi="Times New Roman" w:cs="Times New Roman"/>
          <w:i/>
          <w:iCs/>
          <w:spacing w:val="-1"/>
        </w:rPr>
        <w:t xml:space="preserve"> </w:t>
      </w:r>
      <w:r w:rsidRPr="00116F6D">
        <w:rPr>
          <w:rFonts w:ascii="Times New Roman" w:hAnsi="Times New Roman" w:cs="Times New Roman"/>
          <w:i/>
          <w:iCs/>
        </w:rPr>
        <w:t>szt.</w:t>
      </w:r>
      <w:r w:rsidRPr="00116F6D">
        <w:rPr>
          <w:rFonts w:ascii="Times New Roman" w:hAnsi="Times New Roman" w:cs="Times New Roman"/>
          <w:i/>
          <w:iCs/>
          <w:spacing w:val="-4"/>
        </w:rPr>
        <w:t xml:space="preserve"> </w:t>
      </w:r>
      <w:proofErr w:type="spellStart"/>
      <w:r w:rsidRPr="00116F6D">
        <w:rPr>
          <w:rFonts w:ascii="Times New Roman" w:hAnsi="Times New Roman" w:cs="Times New Roman"/>
          <w:i/>
          <w:iCs/>
        </w:rPr>
        <w:t>Huawei</w:t>
      </w:r>
      <w:proofErr w:type="spellEnd"/>
      <w:r w:rsidRPr="00116F6D">
        <w:rPr>
          <w:rFonts w:ascii="Times New Roman" w:hAnsi="Times New Roman" w:cs="Times New Roman"/>
          <w:i/>
          <w:iCs/>
          <w:spacing w:val="-2"/>
        </w:rPr>
        <w:t xml:space="preserve"> CE6810</w:t>
      </w:r>
    </w:p>
    <w:p w14:paraId="30C6F0D8" w14:textId="77777777" w:rsidR="00116F6D" w:rsidRPr="00116F6D" w:rsidRDefault="00116F6D" w:rsidP="00BA4867">
      <w:pPr>
        <w:pStyle w:val="Akapitzlist"/>
        <w:widowControl w:val="0"/>
        <w:numPr>
          <w:ilvl w:val="1"/>
          <w:numId w:val="13"/>
        </w:numPr>
        <w:tabs>
          <w:tab w:val="left" w:pos="1199"/>
        </w:tabs>
        <w:autoSpaceDE w:val="0"/>
        <w:autoSpaceDN w:val="0"/>
        <w:spacing w:before="38" w:after="0" w:line="240" w:lineRule="auto"/>
        <w:ind w:hanging="361"/>
        <w:contextualSpacing w:val="0"/>
        <w:rPr>
          <w:rFonts w:ascii="Times New Roman" w:hAnsi="Times New Roman" w:cs="Times New Roman"/>
          <w:i/>
          <w:iCs/>
        </w:rPr>
      </w:pPr>
      <w:r w:rsidRPr="00116F6D">
        <w:rPr>
          <w:rFonts w:ascii="Times New Roman" w:hAnsi="Times New Roman" w:cs="Times New Roman"/>
          <w:i/>
          <w:iCs/>
        </w:rPr>
        <w:t>2</w:t>
      </w:r>
      <w:r w:rsidRPr="00116F6D">
        <w:rPr>
          <w:rFonts w:ascii="Times New Roman" w:hAnsi="Times New Roman" w:cs="Times New Roman"/>
          <w:i/>
          <w:iCs/>
          <w:spacing w:val="-1"/>
        </w:rPr>
        <w:t xml:space="preserve"> </w:t>
      </w:r>
      <w:r w:rsidRPr="00116F6D">
        <w:rPr>
          <w:rFonts w:ascii="Times New Roman" w:hAnsi="Times New Roman" w:cs="Times New Roman"/>
          <w:i/>
          <w:iCs/>
        </w:rPr>
        <w:t>szt.</w:t>
      </w:r>
      <w:r w:rsidRPr="00116F6D">
        <w:rPr>
          <w:rFonts w:ascii="Times New Roman" w:hAnsi="Times New Roman" w:cs="Times New Roman"/>
          <w:i/>
          <w:iCs/>
          <w:spacing w:val="-4"/>
        </w:rPr>
        <w:t xml:space="preserve"> </w:t>
      </w:r>
      <w:proofErr w:type="spellStart"/>
      <w:r w:rsidRPr="00116F6D">
        <w:rPr>
          <w:rFonts w:ascii="Times New Roman" w:hAnsi="Times New Roman" w:cs="Times New Roman"/>
          <w:i/>
          <w:iCs/>
        </w:rPr>
        <w:t>Huawei</w:t>
      </w:r>
      <w:proofErr w:type="spellEnd"/>
      <w:r w:rsidRPr="00116F6D">
        <w:rPr>
          <w:rFonts w:ascii="Times New Roman" w:hAnsi="Times New Roman" w:cs="Times New Roman"/>
          <w:i/>
          <w:iCs/>
          <w:spacing w:val="-2"/>
        </w:rPr>
        <w:t xml:space="preserve"> AC6005</w:t>
      </w:r>
    </w:p>
    <w:p w14:paraId="5B126802" w14:textId="77777777" w:rsidR="00116F6D" w:rsidRPr="00116F6D" w:rsidRDefault="00116F6D" w:rsidP="00BA4867">
      <w:pPr>
        <w:pStyle w:val="Akapitzlist"/>
        <w:widowControl w:val="0"/>
        <w:numPr>
          <w:ilvl w:val="1"/>
          <w:numId w:val="13"/>
        </w:numPr>
        <w:tabs>
          <w:tab w:val="left" w:pos="1199"/>
        </w:tabs>
        <w:autoSpaceDE w:val="0"/>
        <w:autoSpaceDN w:val="0"/>
        <w:spacing w:before="39" w:after="0" w:line="240" w:lineRule="auto"/>
        <w:ind w:hanging="361"/>
        <w:contextualSpacing w:val="0"/>
        <w:rPr>
          <w:rFonts w:ascii="Times New Roman" w:hAnsi="Times New Roman" w:cs="Times New Roman"/>
          <w:i/>
          <w:iCs/>
        </w:rPr>
      </w:pPr>
      <w:r w:rsidRPr="00116F6D">
        <w:rPr>
          <w:rFonts w:ascii="Times New Roman" w:hAnsi="Times New Roman" w:cs="Times New Roman"/>
          <w:i/>
          <w:iCs/>
        </w:rPr>
        <w:t>10</w:t>
      </w:r>
      <w:r w:rsidRPr="00116F6D">
        <w:rPr>
          <w:rFonts w:ascii="Times New Roman" w:hAnsi="Times New Roman" w:cs="Times New Roman"/>
          <w:i/>
          <w:iCs/>
          <w:spacing w:val="-7"/>
        </w:rPr>
        <w:t xml:space="preserve"> </w:t>
      </w:r>
      <w:r w:rsidRPr="00116F6D">
        <w:rPr>
          <w:rFonts w:ascii="Times New Roman" w:hAnsi="Times New Roman" w:cs="Times New Roman"/>
          <w:i/>
          <w:iCs/>
        </w:rPr>
        <w:t>szt.</w:t>
      </w:r>
      <w:r w:rsidRPr="00116F6D">
        <w:rPr>
          <w:rFonts w:ascii="Times New Roman" w:hAnsi="Times New Roman" w:cs="Times New Roman"/>
          <w:i/>
          <w:iCs/>
          <w:spacing w:val="-7"/>
        </w:rPr>
        <w:t xml:space="preserve"> </w:t>
      </w:r>
      <w:proofErr w:type="spellStart"/>
      <w:r w:rsidRPr="00116F6D">
        <w:rPr>
          <w:rFonts w:ascii="Times New Roman" w:hAnsi="Times New Roman" w:cs="Times New Roman"/>
          <w:i/>
          <w:iCs/>
        </w:rPr>
        <w:t>Huawei</w:t>
      </w:r>
      <w:proofErr w:type="spellEnd"/>
      <w:r w:rsidRPr="00116F6D">
        <w:rPr>
          <w:rFonts w:ascii="Times New Roman" w:hAnsi="Times New Roman" w:cs="Times New Roman"/>
          <w:i/>
          <w:iCs/>
          <w:spacing w:val="-6"/>
        </w:rPr>
        <w:t xml:space="preserve"> </w:t>
      </w:r>
      <w:r w:rsidRPr="00116F6D">
        <w:rPr>
          <w:rFonts w:ascii="Times New Roman" w:hAnsi="Times New Roman" w:cs="Times New Roman"/>
          <w:i/>
          <w:iCs/>
        </w:rPr>
        <w:t>S5720-28X-PWR-LI-</w:t>
      </w:r>
      <w:r w:rsidRPr="00116F6D">
        <w:rPr>
          <w:rFonts w:ascii="Times New Roman" w:hAnsi="Times New Roman" w:cs="Times New Roman"/>
          <w:i/>
          <w:iCs/>
          <w:spacing w:val="-5"/>
        </w:rPr>
        <w:t>AC</w:t>
      </w:r>
    </w:p>
    <w:p w14:paraId="6C2CF0E3" w14:textId="77777777" w:rsidR="00116F6D" w:rsidRPr="00116F6D" w:rsidRDefault="00116F6D" w:rsidP="00BA4867">
      <w:pPr>
        <w:pStyle w:val="Akapitzlist"/>
        <w:widowControl w:val="0"/>
        <w:autoSpaceDE w:val="0"/>
        <w:autoSpaceDN w:val="0"/>
        <w:spacing w:before="39" w:after="0" w:line="240" w:lineRule="auto"/>
        <w:ind w:left="567"/>
        <w:contextualSpacing w:val="0"/>
        <w:rPr>
          <w:rFonts w:ascii="Times New Roman" w:hAnsi="Times New Roman" w:cs="Times New Roman"/>
          <w:i/>
          <w:iCs/>
        </w:rPr>
      </w:pPr>
      <w:r w:rsidRPr="00116F6D">
        <w:rPr>
          <w:rFonts w:ascii="Times New Roman" w:hAnsi="Times New Roman" w:cs="Times New Roman"/>
          <w:i/>
          <w:iCs/>
        </w:rPr>
        <w:t>minimum</w:t>
      </w:r>
      <w:r w:rsidRPr="00116F6D">
        <w:rPr>
          <w:rFonts w:ascii="Times New Roman" w:hAnsi="Times New Roman" w:cs="Times New Roman"/>
          <w:i/>
          <w:iCs/>
          <w:spacing w:val="-9"/>
        </w:rPr>
        <w:t xml:space="preserve"> </w:t>
      </w:r>
      <w:r w:rsidRPr="00116F6D">
        <w:rPr>
          <w:rFonts w:ascii="Times New Roman" w:hAnsi="Times New Roman" w:cs="Times New Roman"/>
          <w:i/>
          <w:iCs/>
        </w:rPr>
        <w:t>do</w:t>
      </w:r>
      <w:r w:rsidRPr="00116F6D">
        <w:rPr>
          <w:rFonts w:ascii="Times New Roman" w:hAnsi="Times New Roman" w:cs="Times New Roman"/>
          <w:i/>
          <w:iCs/>
          <w:spacing w:val="-10"/>
        </w:rPr>
        <w:t xml:space="preserve"> </w:t>
      </w:r>
      <w:r w:rsidRPr="00116F6D">
        <w:rPr>
          <w:rFonts w:ascii="Times New Roman" w:hAnsi="Times New Roman" w:cs="Times New Roman"/>
          <w:i/>
          <w:iCs/>
        </w:rPr>
        <w:t>2025ma-12-09.</w:t>
      </w:r>
      <w:r w:rsidRPr="00116F6D">
        <w:rPr>
          <w:rFonts w:ascii="Times New Roman" w:hAnsi="Times New Roman" w:cs="Times New Roman"/>
          <w:i/>
          <w:iCs/>
          <w:spacing w:val="-10"/>
        </w:rPr>
        <w:t xml:space="preserve"> </w:t>
      </w:r>
      <w:r w:rsidRPr="00116F6D">
        <w:rPr>
          <w:rFonts w:ascii="Times New Roman" w:hAnsi="Times New Roman" w:cs="Times New Roman"/>
          <w:i/>
          <w:iCs/>
        </w:rPr>
        <w:t>Wsparcie</w:t>
      </w:r>
      <w:r w:rsidRPr="00116F6D">
        <w:rPr>
          <w:rFonts w:ascii="Times New Roman" w:hAnsi="Times New Roman" w:cs="Times New Roman"/>
          <w:i/>
          <w:iCs/>
          <w:spacing w:val="-9"/>
        </w:rPr>
        <w:t xml:space="preserve"> </w:t>
      </w:r>
      <w:r w:rsidRPr="00116F6D">
        <w:rPr>
          <w:rFonts w:ascii="Times New Roman" w:hAnsi="Times New Roman" w:cs="Times New Roman"/>
          <w:i/>
          <w:iCs/>
        </w:rPr>
        <w:t>ma</w:t>
      </w:r>
      <w:r w:rsidRPr="00116F6D">
        <w:rPr>
          <w:rFonts w:ascii="Times New Roman" w:hAnsi="Times New Roman" w:cs="Times New Roman"/>
          <w:i/>
          <w:iCs/>
          <w:spacing w:val="-9"/>
        </w:rPr>
        <w:t xml:space="preserve"> </w:t>
      </w:r>
      <w:r w:rsidRPr="00116F6D">
        <w:rPr>
          <w:rFonts w:ascii="Times New Roman" w:hAnsi="Times New Roman" w:cs="Times New Roman"/>
          <w:i/>
          <w:iCs/>
        </w:rPr>
        <w:t>być</w:t>
      </w:r>
      <w:r w:rsidRPr="00116F6D">
        <w:rPr>
          <w:rFonts w:ascii="Times New Roman" w:hAnsi="Times New Roman" w:cs="Times New Roman"/>
          <w:i/>
          <w:iCs/>
          <w:spacing w:val="-9"/>
        </w:rPr>
        <w:t xml:space="preserve"> </w:t>
      </w:r>
      <w:r w:rsidRPr="00116F6D">
        <w:rPr>
          <w:rFonts w:ascii="Times New Roman" w:hAnsi="Times New Roman" w:cs="Times New Roman"/>
          <w:i/>
          <w:iCs/>
        </w:rPr>
        <w:t>świadczone</w:t>
      </w:r>
      <w:r w:rsidRPr="00116F6D">
        <w:rPr>
          <w:rFonts w:ascii="Times New Roman" w:hAnsi="Times New Roman" w:cs="Times New Roman"/>
          <w:i/>
          <w:iCs/>
          <w:spacing w:val="-9"/>
        </w:rPr>
        <w:t xml:space="preserve"> </w:t>
      </w:r>
      <w:r w:rsidRPr="00116F6D">
        <w:rPr>
          <w:rFonts w:ascii="Times New Roman" w:hAnsi="Times New Roman" w:cs="Times New Roman"/>
          <w:i/>
          <w:iCs/>
        </w:rPr>
        <w:t>na</w:t>
      </w:r>
      <w:r w:rsidRPr="00116F6D">
        <w:rPr>
          <w:rFonts w:ascii="Times New Roman" w:hAnsi="Times New Roman" w:cs="Times New Roman"/>
          <w:i/>
          <w:iCs/>
          <w:spacing w:val="-9"/>
        </w:rPr>
        <w:t xml:space="preserve"> </w:t>
      </w:r>
      <w:r w:rsidRPr="00116F6D">
        <w:rPr>
          <w:rFonts w:ascii="Times New Roman" w:hAnsi="Times New Roman" w:cs="Times New Roman"/>
          <w:i/>
          <w:iCs/>
        </w:rPr>
        <w:t>warunkach</w:t>
      </w:r>
      <w:r w:rsidRPr="00116F6D">
        <w:rPr>
          <w:rFonts w:ascii="Times New Roman" w:hAnsi="Times New Roman" w:cs="Times New Roman"/>
          <w:i/>
          <w:iCs/>
          <w:spacing w:val="-9"/>
        </w:rPr>
        <w:t xml:space="preserve"> </w:t>
      </w:r>
      <w:r w:rsidRPr="00116F6D">
        <w:rPr>
          <w:rFonts w:ascii="Times New Roman" w:hAnsi="Times New Roman" w:cs="Times New Roman"/>
          <w:i/>
          <w:iCs/>
        </w:rPr>
        <w:t>min.</w:t>
      </w:r>
      <w:r w:rsidRPr="00116F6D">
        <w:rPr>
          <w:rFonts w:ascii="Times New Roman" w:hAnsi="Times New Roman" w:cs="Times New Roman"/>
          <w:i/>
          <w:iCs/>
          <w:spacing w:val="-10"/>
        </w:rPr>
        <w:t xml:space="preserve"> </w:t>
      </w:r>
      <w:r w:rsidRPr="00116F6D">
        <w:rPr>
          <w:rFonts w:ascii="Times New Roman" w:hAnsi="Times New Roman" w:cs="Times New Roman"/>
          <w:i/>
          <w:iCs/>
        </w:rPr>
        <w:t>8x5</w:t>
      </w:r>
      <w:r w:rsidRPr="00116F6D">
        <w:rPr>
          <w:rFonts w:ascii="Times New Roman" w:hAnsi="Times New Roman" w:cs="Times New Roman"/>
          <w:i/>
          <w:iCs/>
          <w:spacing w:val="-10"/>
        </w:rPr>
        <w:t xml:space="preserve"> </w:t>
      </w:r>
      <w:r w:rsidRPr="00116F6D">
        <w:rPr>
          <w:rFonts w:ascii="Times New Roman" w:hAnsi="Times New Roman" w:cs="Times New Roman"/>
          <w:i/>
          <w:iCs/>
        </w:rPr>
        <w:t>NBD</w:t>
      </w:r>
      <w:r w:rsidRPr="00116F6D">
        <w:rPr>
          <w:rFonts w:ascii="Times New Roman" w:hAnsi="Times New Roman" w:cs="Times New Roman"/>
          <w:i/>
          <w:iCs/>
          <w:spacing w:val="-11"/>
        </w:rPr>
        <w:t xml:space="preserve"> </w:t>
      </w:r>
      <w:r w:rsidRPr="00116F6D">
        <w:rPr>
          <w:rFonts w:ascii="Times New Roman" w:hAnsi="Times New Roman" w:cs="Times New Roman"/>
          <w:i/>
          <w:iCs/>
        </w:rPr>
        <w:t>oraz</w:t>
      </w:r>
      <w:r w:rsidRPr="00116F6D">
        <w:rPr>
          <w:rFonts w:ascii="Times New Roman" w:hAnsi="Times New Roman" w:cs="Times New Roman"/>
          <w:i/>
          <w:iCs/>
          <w:spacing w:val="-9"/>
        </w:rPr>
        <w:t xml:space="preserve"> </w:t>
      </w:r>
      <w:r w:rsidRPr="00116F6D">
        <w:rPr>
          <w:rFonts w:ascii="Times New Roman" w:hAnsi="Times New Roman" w:cs="Times New Roman"/>
          <w:i/>
          <w:iCs/>
        </w:rPr>
        <w:t>być</w:t>
      </w:r>
      <w:r w:rsidRPr="00116F6D">
        <w:rPr>
          <w:rFonts w:ascii="Times New Roman" w:hAnsi="Times New Roman" w:cs="Times New Roman"/>
          <w:i/>
          <w:iCs/>
          <w:spacing w:val="-9"/>
        </w:rPr>
        <w:t xml:space="preserve"> </w:t>
      </w:r>
      <w:r w:rsidRPr="00116F6D">
        <w:rPr>
          <w:rFonts w:ascii="Times New Roman" w:hAnsi="Times New Roman" w:cs="Times New Roman"/>
          <w:i/>
          <w:iCs/>
        </w:rPr>
        <w:t>świadczone bezprzerwowo od daty zakończenia aktualnego serwisu tj. 2021-10-09</w:t>
      </w:r>
    </w:p>
    <w:p w14:paraId="13221E57" w14:textId="77777777" w:rsidR="00116F6D" w:rsidRPr="00116F6D" w:rsidRDefault="00116F6D" w:rsidP="00BA4867">
      <w:pPr>
        <w:pStyle w:val="Tekstpodstawowy"/>
        <w:spacing w:before="178"/>
        <w:ind w:left="478"/>
        <w:jc w:val="both"/>
        <w:rPr>
          <w:sz w:val="22"/>
          <w:szCs w:val="22"/>
        </w:rPr>
      </w:pPr>
      <w:r w:rsidRPr="00116F6D">
        <w:rPr>
          <w:sz w:val="22"/>
          <w:szCs w:val="22"/>
        </w:rPr>
        <w:t xml:space="preserve">Wg. najlepszej wiedzy wykonawcy przełączniki </w:t>
      </w:r>
      <w:proofErr w:type="spellStart"/>
      <w:r w:rsidRPr="00116F6D">
        <w:rPr>
          <w:sz w:val="22"/>
          <w:szCs w:val="22"/>
        </w:rPr>
        <w:t>Huawei</w:t>
      </w:r>
      <w:proofErr w:type="spellEnd"/>
      <w:r w:rsidRPr="00116F6D">
        <w:rPr>
          <w:sz w:val="22"/>
          <w:szCs w:val="22"/>
        </w:rPr>
        <w:t xml:space="preserve"> serii CE6810 są w statusie EOL i ich maksymalny czas wsparcia serwisowego kończy się z dniem 31.12.2023, natomiast kontrolery </w:t>
      </w:r>
      <w:proofErr w:type="spellStart"/>
      <w:r w:rsidRPr="00116F6D">
        <w:rPr>
          <w:sz w:val="22"/>
          <w:szCs w:val="22"/>
        </w:rPr>
        <w:t>Huawei</w:t>
      </w:r>
      <w:proofErr w:type="spellEnd"/>
      <w:r w:rsidRPr="00116F6D">
        <w:rPr>
          <w:sz w:val="22"/>
          <w:szCs w:val="22"/>
        </w:rPr>
        <w:t xml:space="preserve"> serii AC6005 okres wsparcia serwisowego kończy się z dniem 30.06.2024. Tym samym spełnienie wymagania przedłużenia serwisu dla wszystkich posiadanych przez Zamawiającego urządzeń sieciowych nie jest możliwe. Prosimy Zamawiającego o skorygowanie wymagań w sposób, który umożliwi złożenie ważnej oferty.</w:t>
      </w:r>
    </w:p>
    <w:p w14:paraId="56DF62C5" w14:textId="41A5113C" w:rsidR="007B0F45" w:rsidRPr="00116F6D" w:rsidRDefault="007B0F45" w:rsidP="00BA4867">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61225C">
        <w:rPr>
          <w:rFonts w:cstheme="minorHAnsi"/>
          <w:kern w:val="2"/>
          <w:sz w:val="22"/>
          <w:szCs w:val="22"/>
          <w14:ligatures w14:val="standardContextual"/>
        </w:rPr>
        <w:t xml:space="preserve">Zamawiający wyjaśnia wymagania dotyczące przedłużenia serwisu na dotychczasowe urządzenia sieciowe w taki sposób, że rezygnuje z serwisu dla przełączników </w:t>
      </w:r>
      <w:proofErr w:type="spellStart"/>
      <w:r w:rsidR="0061225C" w:rsidRPr="0061225C">
        <w:rPr>
          <w:rFonts w:cstheme="minorHAnsi"/>
          <w:kern w:val="2"/>
          <w:sz w:val="22"/>
          <w:szCs w:val="22"/>
          <w14:ligatures w14:val="standardContextual"/>
        </w:rPr>
        <w:t>Huawei</w:t>
      </w:r>
      <w:proofErr w:type="spellEnd"/>
      <w:r w:rsidR="0061225C" w:rsidRPr="0061225C">
        <w:rPr>
          <w:rFonts w:cstheme="minorHAnsi"/>
          <w:kern w:val="2"/>
          <w:sz w:val="22"/>
          <w:szCs w:val="22"/>
          <w14:ligatures w14:val="standardContextual"/>
        </w:rPr>
        <w:t xml:space="preserve"> CE6810, a dla kontrolera AC6005 wymaga maksymalnej możliwej do uzyskania od producenta rozwiązania długości świadczenia serwisu, tj. do 30.06.2024r. Dla pozostałych pozycji zgodnie z SWZ.</w:t>
      </w:r>
    </w:p>
    <w:p w14:paraId="52DCFECD" w14:textId="4413D5DB" w:rsidR="007B0F45" w:rsidRPr="00116F6D" w:rsidRDefault="007B0F45" w:rsidP="00BA4867">
      <w:pPr>
        <w:ind w:left="30" w:right="-72"/>
        <w:rPr>
          <w:b/>
          <w:bCs/>
          <w:sz w:val="22"/>
          <w:szCs w:val="22"/>
        </w:rPr>
      </w:pPr>
      <w:r w:rsidRPr="00116F6D">
        <w:rPr>
          <w:b/>
          <w:bCs/>
          <w:sz w:val="22"/>
          <w:szCs w:val="22"/>
        </w:rPr>
        <w:br/>
        <w:t>Pytanie nr 1</w:t>
      </w:r>
      <w:r w:rsidR="00116F6D" w:rsidRPr="00116F6D">
        <w:rPr>
          <w:b/>
          <w:bCs/>
          <w:sz w:val="22"/>
          <w:szCs w:val="22"/>
        </w:rPr>
        <w:t>7</w:t>
      </w:r>
    </w:p>
    <w:p w14:paraId="2B50B795" w14:textId="1EA5100E" w:rsidR="00116F6D" w:rsidRPr="00116F6D" w:rsidRDefault="00116F6D" w:rsidP="00BA4867">
      <w:pPr>
        <w:pStyle w:val="Tekstpodstawowy"/>
        <w:jc w:val="both"/>
        <w:rPr>
          <w:sz w:val="22"/>
          <w:szCs w:val="22"/>
        </w:rPr>
      </w:pPr>
      <w:r w:rsidRPr="00116F6D">
        <w:rPr>
          <w:sz w:val="22"/>
          <w:szCs w:val="22"/>
        </w:rPr>
        <w:t xml:space="preserve">Załącznik nr 2 OPZ – </w:t>
      </w:r>
      <w:r w:rsidRPr="00116F6D">
        <w:rPr>
          <w:b/>
          <w:bCs/>
          <w:sz w:val="22"/>
          <w:szCs w:val="22"/>
        </w:rPr>
        <w:t xml:space="preserve">Opis przedmiotu zamówienia – Punkty dostępowe WLAN – 25 </w:t>
      </w:r>
      <w:proofErr w:type="spellStart"/>
      <w:r w:rsidRPr="00116F6D">
        <w:rPr>
          <w:b/>
          <w:bCs/>
          <w:sz w:val="22"/>
          <w:szCs w:val="22"/>
        </w:rPr>
        <w:t>szt</w:t>
      </w:r>
      <w:proofErr w:type="spellEnd"/>
      <w:r w:rsidRPr="00116F6D">
        <w:rPr>
          <w:b/>
          <w:bCs/>
          <w:sz w:val="22"/>
          <w:szCs w:val="22"/>
        </w:rPr>
        <w:t>:</w:t>
      </w:r>
      <w:r w:rsidRPr="00116F6D">
        <w:rPr>
          <w:b/>
          <w:bCs/>
          <w:sz w:val="22"/>
          <w:szCs w:val="22"/>
        </w:rPr>
        <w:br/>
      </w:r>
      <w:r w:rsidRPr="00116F6D">
        <w:rPr>
          <w:sz w:val="22"/>
          <w:szCs w:val="22"/>
        </w:rPr>
        <w:t>Prosimy Zamawiającego o dopuszczenie rozwiązania bez portu konsoli szeregowej ze złączem RJ-45 w zamian za zarządzanie z wykorzystaniem transmisji radiowej wifi i dedykowanej do tego aplikacji producenta oferowanego rozwiązania.</w:t>
      </w:r>
    </w:p>
    <w:p w14:paraId="0327D325" w14:textId="2FC93FA3" w:rsidR="007B0F45" w:rsidRPr="0061225C" w:rsidRDefault="007B0F45" w:rsidP="00BA4867">
      <w:pPr>
        <w:spacing w:after="40"/>
        <w:ind w:left="30" w:right="-72"/>
        <w:rPr>
          <w:sz w:val="22"/>
          <w:szCs w:val="22"/>
        </w:rPr>
      </w:pPr>
      <w:r w:rsidRPr="00116F6D">
        <w:rPr>
          <w:b/>
          <w:bCs/>
          <w:sz w:val="22"/>
          <w:szCs w:val="22"/>
        </w:rPr>
        <w:t>Stanowisko (wyjaśnienie) Zamawiającego:</w:t>
      </w:r>
      <w:r w:rsidR="0061225C">
        <w:rPr>
          <w:b/>
          <w:bCs/>
          <w:sz w:val="22"/>
          <w:szCs w:val="22"/>
        </w:rPr>
        <w:t xml:space="preserve"> </w:t>
      </w:r>
      <w:r w:rsidR="0061225C" w:rsidRPr="0061225C">
        <w:rPr>
          <w:sz w:val="22"/>
          <w:szCs w:val="22"/>
        </w:rPr>
        <w:t>Zamawiający dopuszcza powyższe rozwiązanie.</w:t>
      </w:r>
    </w:p>
    <w:p w14:paraId="29DBEFA9" w14:textId="02C31D7B" w:rsidR="007B0F45" w:rsidRPr="00116F6D" w:rsidRDefault="007B0F45" w:rsidP="00BA4867">
      <w:pPr>
        <w:ind w:left="28" w:right="-74"/>
        <w:rPr>
          <w:b/>
          <w:bCs/>
          <w:sz w:val="22"/>
          <w:szCs w:val="22"/>
        </w:rPr>
      </w:pPr>
      <w:r w:rsidRPr="00116F6D">
        <w:rPr>
          <w:b/>
          <w:bCs/>
          <w:sz w:val="22"/>
          <w:szCs w:val="22"/>
        </w:rPr>
        <w:br/>
        <w:t>Pytanie nr 1</w:t>
      </w:r>
      <w:r w:rsidR="00116F6D" w:rsidRPr="00116F6D">
        <w:rPr>
          <w:b/>
          <w:bCs/>
          <w:sz w:val="22"/>
          <w:szCs w:val="22"/>
        </w:rPr>
        <w:t>8</w:t>
      </w:r>
    </w:p>
    <w:p w14:paraId="054639CE" w14:textId="5CAAB4EE" w:rsidR="00116F6D" w:rsidRPr="00116F6D" w:rsidRDefault="00116F6D" w:rsidP="00BA4867">
      <w:pPr>
        <w:ind w:left="28" w:right="-74"/>
        <w:rPr>
          <w:b/>
          <w:bCs/>
          <w:sz w:val="22"/>
          <w:szCs w:val="22"/>
        </w:rPr>
      </w:pPr>
      <w:r w:rsidRPr="00116F6D">
        <w:rPr>
          <w:sz w:val="22"/>
          <w:szCs w:val="22"/>
        </w:rPr>
        <w:lastRenderedPageBreak/>
        <w:t>Umowa powierzenia przetwarzania danych osobowych par. 1 ust. 3 Prosimy o opublikowanie i załączenia do specyfikacji warunków zamówienia (dalej "SWZ") wspomnianych w tym postanowieniu wzoru umowy powierzenia przetwarzania danych osobowych wewnętrznych regulacji w tym przedmiocie obowiązujących w przedsiębiorstwie Zamawiającego, gdyż planujący złożyć ofertę na wykonanie zamówienia musi wkalkulować w jej cenę wartość wykonania obowiązków go obciążających na mocy tych regulacji, zaś ustawa z dnia 11 września 2019 roku - Prawo zamówień publicznych w art. 99 par. 1 wymusza, aby SWZ kompletnie opisywała przedmiot zamówienia, w tym i obowiązki oraz wymagania stawiane przez Zamawiającego Wykonawcy. Względnie prosimy o usunięcie z tego postanowienia słów "oraz wewnętrznymi regulacjami obowiązującymi w przedsiębiorstwie Administratora".</w:t>
      </w:r>
    </w:p>
    <w:p w14:paraId="48345CCE" w14:textId="54B7D713" w:rsidR="0061225C" w:rsidRPr="0061225C" w:rsidRDefault="007B0F45" w:rsidP="0061225C">
      <w:pPr>
        <w:jc w:val="both"/>
      </w:pPr>
      <w:r w:rsidRPr="00116F6D">
        <w:rPr>
          <w:b/>
          <w:bCs/>
          <w:sz w:val="22"/>
          <w:szCs w:val="22"/>
        </w:rPr>
        <w:t>Stanowisko (wyjaśnienie) Zamawiającego:</w:t>
      </w:r>
      <w:r w:rsidR="0061225C">
        <w:rPr>
          <w:b/>
          <w:bCs/>
          <w:sz w:val="22"/>
          <w:szCs w:val="22"/>
        </w:rPr>
        <w:t xml:space="preserve"> </w:t>
      </w:r>
      <w:r w:rsidR="0061225C" w:rsidRPr="0061225C">
        <w:rPr>
          <w:rFonts w:ascii="Tahoma" w:hAnsi="Tahoma" w:cs="Tahoma"/>
          <w:b/>
          <w:bCs/>
          <w:color w:val="000000"/>
        </w:rPr>
        <w:t> </w:t>
      </w:r>
      <w:r w:rsidR="0061225C" w:rsidRPr="00FB7939">
        <w:rPr>
          <w:sz w:val="22"/>
          <w:szCs w:val="22"/>
        </w:rPr>
        <w:t>Zamawiający modyfikuje zapis umowy w następujący sposób: „Przetwarzający zobowiązuje się do przetwarzania powierzonych mu danych zgodnie z niniejszą umową, RODO, innymi powszechnie obowiązującymi przepisami prawa”.</w:t>
      </w:r>
    </w:p>
    <w:p w14:paraId="2D516E2D" w14:textId="1BD9340A" w:rsidR="007B0F45" w:rsidRPr="00116F6D" w:rsidRDefault="007B0F45" w:rsidP="0061225C">
      <w:pPr>
        <w:spacing w:after="40"/>
        <w:ind w:left="30" w:right="-72"/>
        <w:rPr>
          <w:b/>
          <w:bCs/>
          <w:sz w:val="22"/>
          <w:szCs w:val="22"/>
        </w:rPr>
      </w:pPr>
      <w:r w:rsidRPr="00116F6D">
        <w:rPr>
          <w:b/>
          <w:bCs/>
          <w:sz w:val="22"/>
          <w:szCs w:val="22"/>
        </w:rPr>
        <w:br/>
        <w:t>Pytanie nr 1</w:t>
      </w:r>
      <w:r w:rsidR="00116F6D" w:rsidRPr="00116F6D">
        <w:rPr>
          <w:b/>
          <w:bCs/>
          <w:sz w:val="22"/>
          <w:szCs w:val="22"/>
        </w:rPr>
        <w:t>9</w:t>
      </w:r>
    </w:p>
    <w:p w14:paraId="3F785208" w14:textId="37C24231" w:rsidR="00116F6D" w:rsidRPr="00116F6D" w:rsidRDefault="00116F6D" w:rsidP="007B0F45">
      <w:pPr>
        <w:spacing w:before="60" w:after="60"/>
        <w:ind w:left="30" w:right="-72"/>
        <w:rPr>
          <w:b/>
          <w:bCs/>
          <w:sz w:val="22"/>
          <w:szCs w:val="22"/>
        </w:rPr>
      </w:pPr>
      <w:r w:rsidRPr="00116F6D">
        <w:rPr>
          <w:sz w:val="22"/>
          <w:szCs w:val="22"/>
        </w:rPr>
        <w:t>Umowa powierzenia przetwarzania danych osobowych par. 3 ust. 2 Czy Zamawiający potwierdzi, że nakazanym przechowywanie danych osobowych jest przechowywanie ich w celu wypełnienia obowiązku dowodowego w postępowaniach, sądowych i administracyjnych, które dotyczą przedmiotu zamówienia, w tym tych danych osobowych?</w:t>
      </w:r>
    </w:p>
    <w:p w14:paraId="27FC8400" w14:textId="1710F309" w:rsidR="007B0F45" w:rsidRPr="00116F6D" w:rsidRDefault="007B0F45" w:rsidP="007B0F45">
      <w:pPr>
        <w:spacing w:after="40"/>
        <w:ind w:left="30" w:right="-72"/>
        <w:rPr>
          <w:b/>
          <w:bCs/>
          <w:sz w:val="22"/>
          <w:szCs w:val="22"/>
        </w:rPr>
      </w:pPr>
      <w:r w:rsidRPr="00116F6D">
        <w:rPr>
          <w:b/>
          <w:bCs/>
          <w:sz w:val="22"/>
          <w:szCs w:val="22"/>
        </w:rPr>
        <w:t>Stanowisko (wyjaśnienie) Zamawiającego:</w:t>
      </w:r>
      <w:r w:rsidR="0061225C">
        <w:rPr>
          <w:b/>
          <w:bCs/>
          <w:sz w:val="22"/>
          <w:szCs w:val="22"/>
        </w:rPr>
        <w:t xml:space="preserve"> </w:t>
      </w:r>
      <w:r w:rsidR="0061225C" w:rsidRPr="0061225C">
        <w:rPr>
          <w:rFonts w:ascii="Tahoma" w:hAnsi="Tahoma" w:cs="Tahoma"/>
          <w:color w:val="000000"/>
        </w:rPr>
        <w:t>Zamawiający potwierdza.</w:t>
      </w:r>
      <w:r w:rsidR="0061225C">
        <w:rPr>
          <w:rFonts w:ascii="Tahoma" w:hAnsi="Tahoma" w:cs="Tahoma"/>
          <w:b/>
          <w:bCs/>
          <w:color w:val="000000"/>
        </w:rPr>
        <w:t> </w:t>
      </w:r>
    </w:p>
    <w:p w14:paraId="1D60AAB3" w14:textId="421E0D87" w:rsidR="007B0F45" w:rsidRPr="00116F6D" w:rsidRDefault="007B0F45" w:rsidP="007B0F45">
      <w:pPr>
        <w:spacing w:before="60" w:after="60"/>
        <w:ind w:left="30" w:right="-72"/>
        <w:rPr>
          <w:b/>
          <w:bCs/>
          <w:sz w:val="22"/>
          <w:szCs w:val="22"/>
        </w:rPr>
      </w:pPr>
      <w:r w:rsidRPr="00116F6D">
        <w:rPr>
          <w:b/>
          <w:bCs/>
          <w:sz w:val="22"/>
          <w:szCs w:val="22"/>
        </w:rPr>
        <w:br/>
        <w:t xml:space="preserve">Pytanie nr </w:t>
      </w:r>
      <w:r w:rsidR="00116F6D" w:rsidRPr="00116F6D">
        <w:rPr>
          <w:b/>
          <w:bCs/>
          <w:sz w:val="22"/>
          <w:szCs w:val="22"/>
        </w:rPr>
        <w:t>20</w:t>
      </w:r>
    </w:p>
    <w:p w14:paraId="59A3FCB3" w14:textId="2775CCA5" w:rsidR="00116F6D" w:rsidRPr="00116F6D" w:rsidRDefault="00116F6D" w:rsidP="007B0F45">
      <w:pPr>
        <w:spacing w:before="60" w:after="60"/>
        <w:ind w:left="30" w:right="-72"/>
        <w:rPr>
          <w:b/>
          <w:bCs/>
          <w:sz w:val="22"/>
          <w:szCs w:val="22"/>
        </w:rPr>
      </w:pPr>
      <w:r w:rsidRPr="00116F6D">
        <w:rPr>
          <w:sz w:val="22"/>
          <w:szCs w:val="22"/>
        </w:rPr>
        <w:t>Umowa powierzenia przetwarzania danych osobowych par. 3 ust. 3 Zwracamy uwagę, że w trakcie audytów i inspekcji przetwarzania danych osobowych u Przetwarzającego (Wykonawcy) może dochodzić do ujawnienia danych objętych tajemnica przedsiębiorstwa Wykonawcy, do której ochrony jest on uprawniony. Zatem w ramach tej ochrony, czy Zamawiający zapewni, że audytorem, o którym mowa w tym postanowieniu wzoru umowy powierzenia przetwarzania danych osobowych nie będzie osoba lub podmiot prowadzący działalność konkurencyjną wobec Wykonawcy, osoba u osoby lub w podmiocie taką działalność prowadzących zatrudniona, na jakiejkolwiek podstawie prawnej, ani też osoba lub podmiot z osobą lub podmiotem taką działalność prowadzącymi powiązana osobowo, kapitałowo lub w jakikolwiek, w tym nieformalny, sposób?</w:t>
      </w:r>
    </w:p>
    <w:p w14:paraId="20815F6F" w14:textId="01A50904" w:rsidR="007B0F45" w:rsidRPr="0061225C" w:rsidRDefault="007B0F45" w:rsidP="007B0F45">
      <w:pPr>
        <w:spacing w:after="40"/>
        <w:ind w:left="30" w:right="-72"/>
        <w:rPr>
          <w:sz w:val="22"/>
          <w:szCs w:val="22"/>
        </w:rPr>
      </w:pPr>
      <w:r w:rsidRPr="00116F6D">
        <w:rPr>
          <w:b/>
          <w:bCs/>
          <w:sz w:val="22"/>
          <w:szCs w:val="22"/>
        </w:rPr>
        <w:t>Stanowisko (wyjaśnienie) Zamawiającego:</w:t>
      </w:r>
      <w:r w:rsidR="0061225C">
        <w:rPr>
          <w:b/>
          <w:bCs/>
          <w:sz w:val="22"/>
          <w:szCs w:val="22"/>
        </w:rPr>
        <w:t xml:space="preserve"> </w:t>
      </w:r>
      <w:r w:rsidR="0061225C" w:rsidRPr="0061225C">
        <w:rPr>
          <w:sz w:val="22"/>
          <w:szCs w:val="22"/>
        </w:rPr>
        <w:t>Zamawiający pozostawia zapis w obowiązującym brzmieniu.</w:t>
      </w:r>
    </w:p>
    <w:p w14:paraId="1E36E6F7" w14:textId="2998DD14" w:rsidR="007B0F45" w:rsidRPr="00116F6D" w:rsidRDefault="007B0F45" w:rsidP="007B0F45">
      <w:pPr>
        <w:spacing w:before="60" w:after="60"/>
        <w:ind w:left="30" w:right="-72"/>
        <w:rPr>
          <w:b/>
          <w:bCs/>
          <w:sz w:val="22"/>
          <w:szCs w:val="22"/>
        </w:rPr>
      </w:pPr>
      <w:r w:rsidRPr="00116F6D">
        <w:rPr>
          <w:b/>
          <w:bCs/>
          <w:sz w:val="22"/>
          <w:szCs w:val="22"/>
        </w:rPr>
        <w:br/>
        <w:t>Pytanie nr 2</w:t>
      </w:r>
      <w:r w:rsidR="00116F6D" w:rsidRPr="00116F6D">
        <w:rPr>
          <w:b/>
          <w:bCs/>
          <w:sz w:val="22"/>
          <w:szCs w:val="22"/>
        </w:rPr>
        <w:t>1</w:t>
      </w:r>
    </w:p>
    <w:p w14:paraId="2C0855C5" w14:textId="2E292BCA" w:rsidR="00116F6D" w:rsidRPr="00116F6D" w:rsidRDefault="00116F6D" w:rsidP="007B0F45">
      <w:pPr>
        <w:spacing w:before="60" w:after="60"/>
        <w:ind w:left="30" w:right="-72"/>
        <w:rPr>
          <w:b/>
          <w:bCs/>
          <w:sz w:val="22"/>
          <w:szCs w:val="22"/>
        </w:rPr>
      </w:pPr>
      <w:r w:rsidRPr="00116F6D">
        <w:rPr>
          <w:sz w:val="22"/>
          <w:szCs w:val="22"/>
        </w:rPr>
        <w:t>Umowa powierzenia przetwarzania danych osobowych par. 6 ust. 2 Czy Zamawiający potwierdzi, że Przetwarzający (Wykonawca) nie będzie zobowiązany do wypełnienia obowiązku określonego w tym postanowieniu wzoru umowy powierzenia przetwarzania danych osobowych, jeśli zabraniać mu tego będą powszechnie obowiązujące na terytorium Rzeczypospolitej Polskiej przepisy prawa, albo decyzje lub orzeczenia wydane przez organy lub sądy prowadzące postępowania lub kontrole, o których mowa w tym postanowieniu?</w:t>
      </w:r>
    </w:p>
    <w:p w14:paraId="3B4749B4" w14:textId="0B6AF085" w:rsidR="007B0F45" w:rsidRPr="008D3D44" w:rsidRDefault="007B0F45" w:rsidP="007B0F45">
      <w:pPr>
        <w:spacing w:after="40"/>
        <w:ind w:left="30" w:right="-72"/>
        <w:rPr>
          <w:sz w:val="22"/>
          <w:szCs w:val="22"/>
        </w:rPr>
      </w:pPr>
      <w:r w:rsidRPr="00116F6D">
        <w:rPr>
          <w:b/>
          <w:bCs/>
          <w:sz w:val="22"/>
          <w:szCs w:val="22"/>
        </w:rPr>
        <w:t>Stanowisko (wyjaśnienie) Zamawiającego:</w:t>
      </w:r>
      <w:r w:rsidR="0061225C">
        <w:rPr>
          <w:b/>
          <w:bCs/>
          <w:sz w:val="22"/>
          <w:szCs w:val="22"/>
        </w:rPr>
        <w:t xml:space="preserve"> </w:t>
      </w:r>
      <w:r w:rsidR="0061225C" w:rsidRPr="008D3D44">
        <w:rPr>
          <w:rFonts w:ascii="Tahoma" w:hAnsi="Tahoma" w:cs="Tahoma"/>
          <w:color w:val="000000"/>
        </w:rPr>
        <w:t>Zamawiający potwierdza.  </w:t>
      </w:r>
    </w:p>
    <w:p w14:paraId="76B0F419" w14:textId="77777777" w:rsidR="007B0F45" w:rsidRPr="00116F6D" w:rsidRDefault="007B0F45" w:rsidP="007B0F45">
      <w:pPr>
        <w:spacing w:before="60" w:after="60"/>
        <w:ind w:left="30" w:right="-72"/>
        <w:rPr>
          <w:b/>
          <w:bCs/>
          <w:sz w:val="22"/>
          <w:szCs w:val="22"/>
        </w:rPr>
      </w:pPr>
    </w:p>
    <w:p w14:paraId="2963D996" w14:textId="64D709C7" w:rsidR="008D3D44" w:rsidRDefault="008D3D44" w:rsidP="008D3D44">
      <w:pPr>
        <w:spacing w:before="240" w:after="240" w:line="23" w:lineRule="atLeast"/>
        <w:rPr>
          <w:sz w:val="22"/>
          <w:szCs w:val="22"/>
        </w:rPr>
      </w:pPr>
      <w:r>
        <w:rPr>
          <w:b/>
          <w:bCs/>
          <w:sz w:val="22"/>
          <w:szCs w:val="22"/>
        </w:rPr>
        <w:t>Pytanie nr 22</w:t>
      </w:r>
      <w:r>
        <w:rPr>
          <w:b/>
          <w:bCs/>
          <w:sz w:val="22"/>
          <w:szCs w:val="22"/>
        </w:rPr>
        <w:br/>
      </w:r>
      <w:r>
        <w:rPr>
          <w:sz w:val="22"/>
          <w:szCs w:val="22"/>
        </w:rPr>
        <w:t>Załącznik nr 2 do SWZ, SOPZ, Zakres 2; dostawa oprogramowania, System HIS,  Zakończenie pobytu, "Podczas rejestracji wypisu system powinien odnotowywać datę archiwizacji o nr kartoteki pacjenta"</w:t>
      </w:r>
    </w:p>
    <w:p w14:paraId="769F10FA" w14:textId="77777777" w:rsidR="008D3D44" w:rsidRDefault="008D3D44" w:rsidP="008D3D44">
      <w:pPr>
        <w:jc w:val="both"/>
        <w:rPr>
          <w:sz w:val="24"/>
          <w:szCs w:val="24"/>
        </w:rPr>
      </w:pPr>
      <w:r>
        <w:rPr>
          <w:sz w:val="24"/>
          <w:szCs w:val="24"/>
        </w:rPr>
        <w:t xml:space="preserve">Zakres jak nazwa wskazuje, obejmuje proces zakończenia pobytu. Pobyt zaś jednoznacznie wiąże że się z pobytem szpitalnym. W zakresie pobytu szpitalnego nie prowadzi się ewidencji </w:t>
      </w:r>
      <w:r>
        <w:rPr>
          <w:sz w:val="24"/>
          <w:szCs w:val="24"/>
        </w:rPr>
        <w:lastRenderedPageBreak/>
        <w:t>numerów kartotek pacjentów, to domena rejestracji i poradni. W związku z tym prosimy Zamawiającego o wykreślenie punktu.</w:t>
      </w:r>
    </w:p>
    <w:p w14:paraId="4F5B3D95" w14:textId="77777777" w:rsidR="008D3D44" w:rsidRDefault="008D3D44" w:rsidP="008D3D44">
      <w:pPr>
        <w:spacing w:after="40"/>
        <w:ind w:left="30" w:right="-72"/>
        <w:rPr>
          <w:sz w:val="24"/>
          <w:szCs w:val="24"/>
        </w:rPr>
      </w:pPr>
      <w:r>
        <w:rPr>
          <w:b/>
          <w:bCs/>
          <w:sz w:val="22"/>
          <w:szCs w:val="22"/>
        </w:rPr>
        <w:t xml:space="preserve">Stanowisko (wyjaśnienie) Zamawiającego: </w:t>
      </w:r>
      <w:r>
        <w:rPr>
          <w:rFonts w:cstheme="minorHAnsi"/>
          <w:b/>
          <w:bCs/>
        </w:rPr>
        <w:t xml:space="preserve"> </w:t>
      </w:r>
      <w:r>
        <w:rPr>
          <w:rFonts w:cstheme="minorHAnsi"/>
          <w:sz w:val="24"/>
          <w:szCs w:val="24"/>
        </w:rPr>
        <w:t>Zamawiający rezygnuje z zapisu</w:t>
      </w:r>
    </w:p>
    <w:p w14:paraId="7DDF1A84" w14:textId="77777777" w:rsidR="00116F6D" w:rsidRPr="00116F6D" w:rsidRDefault="00116F6D" w:rsidP="007B0F45">
      <w:pPr>
        <w:spacing w:before="60" w:after="60"/>
        <w:ind w:left="30" w:right="-72"/>
        <w:rPr>
          <w:b/>
          <w:bCs/>
          <w:sz w:val="22"/>
          <w:szCs w:val="22"/>
        </w:rPr>
      </w:pPr>
    </w:p>
    <w:p w14:paraId="7B458659" w14:textId="77777777" w:rsidR="006E751A" w:rsidRDefault="006E751A" w:rsidP="006E751A">
      <w:pPr>
        <w:spacing w:line="360" w:lineRule="auto"/>
        <w:ind w:left="3117" w:firstLine="423"/>
        <w:jc w:val="center"/>
        <w:rPr>
          <w:i/>
          <w:sz w:val="22"/>
          <w:szCs w:val="22"/>
        </w:rPr>
      </w:pPr>
      <w:r>
        <w:rPr>
          <w:i/>
          <w:sz w:val="22"/>
          <w:szCs w:val="22"/>
        </w:rPr>
        <w:t>Zamawiający</w:t>
      </w:r>
    </w:p>
    <w:p w14:paraId="353FFC85" w14:textId="77777777" w:rsidR="006E751A" w:rsidRDefault="006E751A" w:rsidP="006E751A">
      <w:pPr>
        <w:ind w:firstLine="425"/>
        <w:jc w:val="center"/>
        <w:rPr>
          <w:sz w:val="22"/>
          <w:szCs w:val="22"/>
        </w:rPr>
      </w:pPr>
      <w:r>
        <w:rPr>
          <w:sz w:val="22"/>
          <w:szCs w:val="22"/>
        </w:rPr>
        <w:t xml:space="preserve">                                                            /-/ Dyrektor Szpitala Wojewódzkiego </w:t>
      </w:r>
    </w:p>
    <w:p w14:paraId="72C73B47" w14:textId="77777777" w:rsidR="006E751A" w:rsidRDefault="006E751A" w:rsidP="006E751A">
      <w:pPr>
        <w:ind w:firstLine="425"/>
        <w:jc w:val="center"/>
        <w:rPr>
          <w:sz w:val="22"/>
          <w:szCs w:val="22"/>
        </w:rPr>
      </w:pPr>
      <w:r>
        <w:rPr>
          <w:sz w:val="22"/>
          <w:szCs w:val="22"/>
        </w:rPr>
        <w:t xml:space="preserve">                                                          w Poznaniu</w:t>
      </w:r>
    </w:p>
    <w:p w14:paraId="6039FF23" w14:textId="77777777" w:rsidR="006E751A" w:rsidRDefault="006E751A" w:rsidP="006E751A">
      <w:pPr>
        <w:ind w:firstLine="425"/>
        <w:jc w:val="center"/>
        <w:rPr>
          <w:sz w:val="22"/>
          <w:szCs w:val="22"/>
        </w:rPr>
      </w:pPr>
      <w:r>
        <w:rPr>
          <w:sz w:val="22"/>
          <w:szCs w:val="22"/>
        </w:rPr>
        <w:t xml:space="preserve">                                                             Piotr Nowicki</w:t>
      </w:r>
    </w:p>
    <w:p w14:paraId="06126361" w14:textId="61A1123D" w:rsidR="006D4AB3" w:rsidRPr="00116F6D" w:rsidRDefault="006D4AB3" w:rsidP="006E751A">
      <w:pPr>
        <w:pStyle w:val="Tekstpodstawowy"/>
        <w:spacing w:before="120" w:after="480"/>
        <w:ind w:left="3119" w:firstLine="425"/>
        <w:jc w:val="center"/>
        <w:rPr>
          <w:sz w:val="24"/>
          <w:szCs w:val="24"/>
        </w:rPr>
      </w:pPr>
    </w:p>
    <w:sectPr w:rsidR="006D4AB3" w:rsidRPr="00116F6D" w:rsidSect="0012774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09C3" w14:textId="77777777" w:rsidR="00A56AC4" w:rsidRDefault="00A56AC4">
      <w:r>
        <w:separator/>
      </w:r>
    </w:p>
  </w:endnote>
  <w:endnote w:type="continuationSeparator" w:id="0">
    <w:p w14:paraId="65BAD7EF" w14:textId="77777777" w:rsidR="00A56AC4" w:rsidRDefault="00A5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EE"/>
    <w:family w:val="auto"/>
    <w:pitch w:val="variable"/>
    <w:sig w:usb0="2000020F" w:usb1="00000003" w:usb2="00000000" w:usb3="00000000" w:csb0="00000197"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1D6E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BD12A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030C" w14:textId="7484FE34" w:rsidR="006D4AB3" w:rsidRDefault="00EB4EB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F6DB034" wp14:editId="0CDF7B2C">
              <wp:simplePos x="0" y="0"/>
              <wp:positionH relativeFrom="column">
                <wp:posOffset>-48895</wp:posOffset>
              </wp:positionH>
              <wp:positionV relativeFrom="paragraph">
                <wp:posOffset>111125</wp:posOffset>
              </wp:positionV>
              <wp:extent cx="5829300" cy="0"/>
              <wp:effectExtent l="0" t="0" r="0" b="0"/>
              <wp:wrapNone/>
              <wp:docPr id="24879457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523F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9AF949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5056" w14:textId="77777777" w:rsidR="006D4AB3" w:rsidRDefault="006D4AB3">
    <w:pPr>
      <w:pStyle w:val="Stopka"/>
      <w:pBdr>
        <w:bottom w:val="single" w:sz="6" w:space="0" w:color="auto"/>
      </w:pBdr>
      <w:tabs>
        <w:tab w:val="clear" w:pos="4536"/>
        <w:tab w:val="left" w:pos="6237"/>
      </w:tabs>
    </w:pPr>
  </w:p>
  <w:p w14:paraId="1727E9E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1461E82" w14:textId="77777777" w:rsidR="006D4AB3" w:rsidRDefault="006D4AB3">
    <w:pPr>
      <w:pStyle w:val="Stopka"/>
      <w:tabs>
        <w:tab w:val="clear" w:pos="4536"/>
        <w:tab w:val="left" w:pos="6237"/>
      </w:tabs>
    </w:pPr>
  </w:p>
  <w:p w14:paraId="2A0D534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B9DC" w14:textId="77777777" w:rsidR="00A56AC4" w:rsidRDefault="00A56AC4">
      <w:r>
        <w:separator/>
      </w:r>
    </w:p>
  </w:footnote>
  <w:footnote w:type="continuationSeparator" w:id="0">
    <w:p w14:paraId="780BAB93" w14:textId="77777777" w:rsidR="00A56AC4" w:rsidRDefault="00A56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9C48" w14:textId="77777777" w:rsidR="00C82664" w:rsidRDefault="00C826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94C92" w14:textId="77777777" w:rsidR="00C82664" w:rsidRDefault="00C826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7902E" w14:textId="77777777" w:rsidR="00C82664" w:rsidRDefault="00C826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2D8F"/>
    <w:multiLevelType w:val="hybridMultilevel"/>
    <w:tmpl w:val="AB1CED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371D08"/>
    <w:multiLevelType w:val="hybridMultilevel"/>
    <w:tmpl w:val="D7DA49B4"/>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3600837"/>
    <w:multiLevelType w:val="hybridMultilevel"/>
    <w:tmpl w:val="BFCA44B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17F35B0"/>
    <w:multiLevelType w:val="hybridMultilevel"/>
    <w:tmpl w:val="90F47B7C"/>
    <w:lvl w:ilvl="0" w:tplc="D1BA53D8">
      <w:start w:val="1"/>
      <w:numFmt w:val="decimal"/>
      <w:lvlText w:val="Pytanie %1."/>
      <w:lvlJc w:val="left"/>
      <w:pPr>
        <w:ind w:left="720" w:hanging="360"/>
      </w:pPr>
      <w:rPr>
        <w:rFonts w:hint="default"/>
        <w:b/>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4A7629"/>
    <w:multiLevelType w:val="hybridMultilevel"/>
    <w:tmpl w:val="D92850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173A5B"/>
    <w:multiLevelType w:val="hybridMultilevel"/>
    <w:tmpl w:val="8E4467E6"/>
    <w:lvl w:ilvl="0" w:tplc="3D1E0C0C">
      <w:start w:val="1"/>
      <w:numFmt w:val="lowerLetter"/>
      <w:lvlText w:val="%1)"/>
      <w:lvlJc w:val="left"/>
      <w:pPr>
        <w:ind w:left="720" w:hanging="360"/>
      </w:pPr>
      <w:rPr>
        <w:rFonts w:ascii="Montserrat" w:hAnsi="Montserrat"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8C76FE5"/>
    <w:multiLevelType w:val="hybridMultilevel"/>
    <w:tmpl w:val="29E0C5FE"/>
    <w:lvl w:ilvl="0" w:tplc="04090001">
      <w:start w:val="1"/>
      <w:numFmt w:val="bullet"/>
      <w:lvlText w:val=""/>
      <w:lvlJc w:val="left"/>
      <w:pPr>
        <w:ind w:left="720" w:hanging="360"/>
      </w:pPr>
      <w:rPr>
        <w:rFonts w:ascii="Symbol" w:hAnsi="Symbol" w:hint="default"/>
      </w:rPr>
    </w:lvl>
    <w:lvl w:ilvl="1" w:tplc="D3E814E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C50C8B"/>
    <w:multiLevelType w:val="hybridMultilevel"/>
    <w:tmpl w:val="CCD82ADA"/>
    <w:lvl w:ilvl="0" w:tplc="66C4C6C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48A641B2"/>
    <w:multiLevelType w:val="hybridMultilevel"/>
    <w:tmpl w:val="14CEA49E"/>
    <w:lvl w:ilvl="0" w:tplc="66C4C6C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9A57D34"/>
    <w:multiLevelType w:val="hybridMultilevel"/>
    <w:tmpl w:val="5E4628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4B182EB4"/>
    <w:multiLevelType w:val="hybridMultilevel"/>
    <w:tmpl w:val="D7C8C93C"/>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0EE4919"/>
    <w:multiLevelType w:val="hybridMultilevel"/>
    <w:tmpl w:val="94DADA84"/>
    <w:lvl w:ilvl="0" w:tplc="E93EAA96">
      <w:numFmt w:val="bullet"/>
      <w:lvlText w:val=""/>
      <w:lvlJc w:val="left"/>
      <w:pPr>
        <w:ind w:left="838" w:hanging="360"/>
      </w:pPr>
      <w:rPr>
        <w:rFonts w:ascii="Symbol" w:eastAsia="Symbol" w:hAnsi="Symbol" w:cs="Symbol" w:hint="default"/>
        <w:b w:val="0"/>
        <w:bCs w:val="0"/>
        <w:i w:val="0"/>
        <w:iCs w:val="0"/>
        <w:w w:val="100"/>
        <w:sz w:val="22"/>
        <w:szCs w:val="22"/>
        <w:lang w:val="pl-PL" w:eastAsia="en-US" w:bidi="ar-SA"/>
      </w:rPr>
    </w:lvl>
    <w:lvl w:ilvl="1" w:tplc="A5068076">
      <w:start w:val="1"/>
      <w:numFmt w:val="lowerLetter"/>
      <w:lvlText w:val="%2)"/>
      <w:lvlJc w:val="left"/>
      <w:pPr>
        <w:ind w:left="1198" w:hanging="360"/>
      </w:pPr>
      <w:rPr>
        <w:rFonts w:ascii="Montserrat" w:eastAsia="Times New Roman" w:hAnsi="Montserrat" w:cs="Times New Roman" w:hint="default"/>
        <w:b w:val="0"/>
        <w:bCs w:val="0"/>
        <w:i w:val="0"/>
        <w:iCs w:val="0"/>
        <w:w w:val="100"/>
        <w:sz w:val="20"/>
        <w:szCs w:val="20"/>
        <w:lang w:val="pl-PL" w:eastAsia="en-US" w:bidi="ar-SA"/>
      </w:rPr>
    </w:lvl>
    <w:lvl w:ilvl="2" w:tplc="139CB7D8">
      <w:numFmt w:val="bullet"/>
      <w:lvlText w:val="•"/>
      <w:lvlJc w:val="left"/>
      <w:pPr>
        <w:ind w:left="2165" w:hanging="360"/>
      </w:pPr>
      <w:rPr>
        <w:rFonts w:hint="default"/>
        <w:lang w:val="pl-PL" w:eastAsia="en-US" w:bidi="ar-SA"/>
      </w:rPr>
    </w:lvl>
    <w:lvl w:ilvl="3" w:tplc="4FBA265E">
      <w:numFmt w:val="bullet"/>
      <w:lvlText w:val="•"/>
      <w:lvlJc w:val="left"/>
      <w:pPr>
        <w:ind w:left="3130" w:hanging="360"/>
      </w:pPr>
      <w:rPr>
        <w:rFonts w:hint="default"/>
        <w:lang w:val="pl-PL" w:eastAsia="en-US" w:bidi="ar-SA"/>
      </w:rPr>
    </w:lvl>
    <w:lvl w:ilvl="4" w:tplc="710EA304">
      <w:numFmt w:val="bullet"/>
      <w:lvlText w:val="•"/>
      <w:lvlJc w:val="left"/>
      <w:pPr>
        <w:ind w:left="4095" w:hanging="360"/>
      </w:pPr>
      <w:rPr>
        <w:rFonts w:hint="default"/>
        <w:lang w:val="pl-PL" w:eastAsia="en-US" w:bidi="ar-SA"/>
      </w:rPr>
    </w:lvl>
    <w:lvl w:ilvl="5" w:tplc="3EFC9A1A">
      <w:numFmt w:val="bullet"/>
      <w:lvlText w:val="•"/>
      <w:lvlJc w:val="left"/>
      <w:pPr>
        <w:ind w:left="5060" w:hanging="360"/>
      </w:pPr>
      <w:rPr>
        <w:rFonts w:hint="default"/>
        <w:lang w:val="pl-PL" w:eastAsia="en-US" w:bidi="ar-SA"/>
      </w:rPr>
    </w:lvl>
    <w:lvl w:ilvl="6" w:tplc="660A1286">
      <w:numFmt w:val="bullet"/>
      <w:lvlText w:val="•"/>
      <w:lvlJc w:val="left"/>
      <w:pPr>
        <w:ind w:left="6025" w:hanging="360"/>
      </w:pPr>
      <w:rPr>
        <w:rFonts w:hint="default"/>
        <w:lang w:val="pl-PL" w:eastAsia="en-US" w:bidi="ar-SA"/>
      </w:rPr>
    </w:lvl>
    <w:lvl w:ilvl="7" w:tplc="E74E1720">
      <w:numFmt w:val="bullet"/>
      <w:lvlText w:val="•"/>
      <w:lvlJc w:val="left"/>
      <w:pPr>
        <w:ind w:left="6990" w:hanging="360"/>
      </w:pPr>
      <w:rPr>
        <w:rFonts w:hint="default"/>
        <w:lang w:val="pl-PL" w:eastAsia="en-US" w:bidi="ar-SA"/>
      </w:rPr>
    </w:lvl>
    <w:lvl w:ilvl="8" w:tplc="6CDC902C">
      <w:numFmt w:val="bullet"/>
      <w:lvlText w:val="•"/>
      <w:lvlJc w:val="left"/>
      <w:pPr>
        <w:ind w:left="7956" w:hanging="360"/>
      </w:pPr>
      <w:rPr>
        <w:rFonts w:hint="default"/>
        <w:lang w:val="pl-PL" w:eastAsia="en-US" w:bidi="ar-SA"/>
      </w:rPr>
    </w:lvl>
  </w:abstractNum>
  <w:abstractNum w:abstractNumId="16" w15:restartNumberingAfterBreak="0">
    <w:nsid w:val="61A95E31"/>
    <w:multiLevelType w:val="multilevel"/>
    <w:tmpl w:val="4610541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15:restartNumberingAfterBreak="0">
    <w:nsid w:val="66B46633"/>
    <w:multiLevelType w:val="hybridMultilevel"/>
    <w:tmpl w:val="90F47B7C"/>
    <w:lvl w:ilvl="0" w:tplc="FFFFFFFF">
      <w:start w:val="1"/>
      <w:numFmt w:val="decimal"/>
      <w:lvlText w:val="Pytanie %1."/>
      <w:lvlJc w:val="left"/>
      <w:pPr>
        <w:ind w:left="720" w:hanging="36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4315D6A"/>
    <w:multiLevelType w:val="hybridMultilevel"/>
    <w:tmpl w:val="EB6876A0"/>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7B5B36A6"/>
    <w:multiLevelType w:val="multilevel"/>
    <w:tmpl w:val="83688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7D383A"/>
    <w:multiLevelType w:val="hybridMultilevel"/>
    <w:tmpl w:val="B64ADD0C"/>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72173150">
    <w:abstractNumId w:val="11"/>
  </w:num>
  <w:num w:numId="2" w16cid:durableId="826938006">
    <w:abstractNumId w:val="20"/>
  </w:num>
  <w:num w:numId="3" w16cid:durableId="700057546">
    <w:abstractNumId w:val="10"/>
  </w:num>
  <w:num w:numId="4" w16cid:durableId="64182668">
    <w:abstractNumId w:val="19"/>
  </w:num>
  <w:num w:numId="5" w16cid:durableId="515073900">
    <w:abstractNumId w:val="3"/>
  </w:num>
  <w:num w:numId="6" w16cid:durableId="1857039241">
    <w:abstractNumId w:val="7"/>
  </w:num>
  <w:num w:numId="7" w16cid:durableId="1894197331">
    <w:abstractNumId w:val="17"/>
  </w:num>
  <w:num w:numId="8" w16cid:durableId="20282212">
    <w:abstractNumId w:val="4"/>
  </w:num>
  <w:num w:numId="9" w16cid:durableId="1894657461">
    <w:abstractNumId w:val="22"/>
  </w:num>
  <w:num w:numId="10" w16cid:durableId="461268272">
    <w:abstractNumId w:val="9"/>
  </w:num>
  <w:num w:numId="11" w16cid:durableId="675689878">
    <w:abstractNumId w:val="12"/>
  </w:num>
  <w:num w:numId="12" w16cid:durableId="88239238">
    <w:abstractNumId w:val="18"/>
  </w:num>
  <w:num w:numId="13" w16cid:durableId="384331083">
    <w:abstractNumId w:val="15"/>
  </w:num>
  <w:num w:numId="14" w16cid:durableId="1533810602">
    <w:abstractNumId w:val="6"/>
  </w:num>
  <w:num w:numId="15" w16cid:durableId="342784394">
    <w:abstractNumId w:val="8"/>
  </w:num>
  <w:num w:numId="16" w16cid:durableId="123816152">
    <w:abstractNumId w:val="13"/>
  </w:num>
  <w:num w:numId="17" w16cid:durableId="1455830307">
    <w:abstractNumId w:val="0"/>
  </w:num>
  <w:num w:numId="18" w16cid:durableId="1142190626">
    <w:abstractNumId w:val="16"/>
  </w:num>
  <w:num w:numId="19" w16cid:durableId="1619407836">
    <w:abstractNumId w:val="5"/>
  </w:num>
  <w:num w:numId="20" w16cid:durableId="973367955">
    <w:abstractNumId w:val="14"/>
  </w:num>
  <w:num w:numId="21" w16cid:durableId="1754081544">
    <w:abstractNumId w:val="23"/>
  </w:num>
  <w:num w:numId="22" w16cid:durableId="1213808912">
    <w:abstractNumId w:val="1"/>
  </w:num>
  <w:num w:numId="23" w16cid:durableId="1081606805">
    <w:abstractNumId w:val="21"/>
  </w:num>
  <w:num w:numId="24" w16cid:durableId="960191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C4"/>
    <w:rsid w:val="00031374"/>
    <w:rsid w:val="000A1097"/>
    <w:rsid w:val="000E2A8F"/>
    <w:rsid w:val="00116F6D"/>
    <w:rsid w:val="0012774F"/>
    <w:rsid w:val="00144B7A"/>
    <w:rsid w:val="00180C6E"/>
    <w:rsid w:val="0029606A"/>
    <w:rsid w:val="004509AD"/>
    <w:rsid w:val="004848F3"/>
    <w:rsid w:val="004A75F2"/>
    <w:rsid w:val="005144A9"/>
    <w:rsid w:val="00520165"/>
    <w:rsid w:val="005646EB"/>
    <w:rsid w:val="005B1B08"/>
    <w:rsid w:val="0061225C"/>
    <w:rsid w:val="00632C3C"/>
    <w:rsid w:val="00662BDB"/>
    <w:rsid w:val="006A5DF1"/>
    <w:rsid w:val="006B7198"/>
    <w:rsid w:val="006D4AB3"/>
    <w:rsid w:val="006E751A"/>
    <w:rsid w:val="006F3B81"/>
    <w:rsid w:val="007B0F45"/>
    <w:rsid w:val="007D7198"/>
    <w:rsid w:val="00833948"/>
    <w:rsid w:val="00870F9F"/>
    <w:rsid w:val="008804B6"/>
    <w:rsid w:val="00897AB0"/>
    <w:rsid w:val="008A3553"/>
    <w:rsid w:val="008D3D44"/>
    <w:rsid w:val="009003D1"/>
    <w:rsid w:val="00947A50"/>
    <w:rsid w:val="00A56AC4"/>
    <w:rsid w:val="00A905AC"/>
    <w:rsid w:val="00B1255C"/>
    <w:rsid w:val="00BA4867"/>
    <w:rsid w:val="00BA6584"/>
    <w:rsid w:val="00BE7BFD"/>
    <w:rsid w:val="00C370F2"/>
    <w:rsid w:val="00C44EEC"/>
    <w:rsid w:val="00C82664"/>
    <w:rsid w:val="00D22FFA"/>
    <w:rsid w:val="00D8461B"/>
    <w:rsid w:val="00D86FA5"/>
    <w:rsid w:val="00D9049C"/>
    <w:rsid w:val="00D915F2"/>
    <w:rsid w:val="00DF32E8"/>
    <w:rsid w:val="00E21B49"/>
    <w:rsid w:val="00E2789F"/>
    <w:rsid w:val="00E72428"/>
    <w:rsid w:val="00EA14B3"/>
    <w:rsid w:val="00EA416E"/>
    <w:rsid w:val="00EB4EB0"/>
    <w:rsid w:val="00FB7939"/>
    <w:rsid w:val="00FC5957"/>
    <w:rsid w:val="00FD265E"/>
    <w:rsid w:val="00FF1C7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23942"/>
  <w15:chartTrackingRefBased/>
  <w15:docId w15:val="{F4C97D93-495A-40EE-AD93-795BA38BA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Akapit z listą BS,CW_Lista,sw tekst,L1,Numerowanie,List Paragraph,normalny tekst,Kolorowa lista — akcent 11,Bulleted list,lp1,Preambuła,Colorful Shading - Accent 31,Light List - Accent 51,Akapit z listą5,Odstavec,Podsis rysunku,BulletC,lp"/>
    <w:basedOn w:val="Normalny"/>
    <w:link w:val="AkapitzlistZnak"/>
    <w:uiPriority w:val="34"/>
    <w:qFormat/>
    <w:rsid w:val="007B0F4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Akapit z listą BS Znak,CW_Lista Znak,sw tekst Znak,L1 Znak,Numerowanie Znak,List Paragraph Znak,normalny tekst Znak,Kolorowa lista — akcent 11 Znak,Bulleted list Znak,lp1 Znak,Preambuła Znak,Colorful Shading - Accent 31 Znak,lp Znak"/>
    <w:link w:val="Akapitzlist"/>
    <w:uiPriority w:val="34"/>
    <w:qFormat/>
    <w:rsid w:val="007B0F45"/>
    <w:rPr>
      <w:rFonts w:asciiTheme="minorHAnsi" w:eastAsiaTheme="minorHAnsi" w:hAnsiTheme="minorHAnsi" w:cstheme="minorBidi"/>
      <w:sz w:val="22"/>
      <w:szCs w:val="22"/>
      <w:lang w:eastAsia="en-US"/>
    </w:rPr>
  </w:style>
  <w:style w:type="table" w:customStyle="1" w:styleId="Tabela-Siatka1">
    <w:name w:val="Tabela - Siatka1"/>
    <w:basedOn w:val="Standardowy"/>
    <w:next w:val="Tabela-Siatka"/>
    <w:uiPriority w:val="39"/>
    <w:rsid w:val="00BA4867"/>
    <w:rPr>
      <w:rFonts w:ascii="Cambria" w:eastAsia="MS Mincho" w:hAnsi="Cambria"/>
      <w:color w:val="000000" w:themeColor="text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729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8725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Ogloszenia/Details/450f8bc5-0890-434b-b4bb-962846261d3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eat.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vmware.com/resources/compatibility/search.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1AFED-34CB-4A54-B01B-981745CD9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62</TotalTime>
  <Pages>32</Pages>
  <Words>11484</Words>
  <Characters>77380</Characters>
  <Application>Microsoft Office Word</Application>
  <DocSecurity>0</DocSecurity>
  <Lines>644</Lines>
  <Paragraphs>177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8</cp:revision>
  <cp:lastPrinted>2023-08-11T10:22:00Z</cp:lastPrinted>
  <dcterms:created xsi:type="dcterms:W3CDTF">2023-08-11T08:57:00Z</dcterms:created>
  <dcterms:modified xsi:type="dcterms:W3CDTF">2023-08-11T10:49:00Z</dcterms:modified>
</cp:coreProperties>
</file>