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2AD242AC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D223DB">
        <w:rPr>
          <w:rFonts w:ascii="Times New Roman" w:eastAsia="Calibri" w:hAnsi="Times New Roman" w:cs="Times New Roman"/>
          <w:b/>
        </w:rPr>
        <w:t>37</w:t>
      </w:r>
      <w:r w:rsidR="00F449A7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6D5B7F">
        <w:rPr>
          <w:rFonts w:ascii="Times New Roman" w:eastAsia="Calibri" w:hAnsi="Times New Roman" w:cs="Times New Roman"/>
          <w:b/>
        </w:rPr>
        <w:t>3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2BEE159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D223DB">
        <w:rPr>
          <w:rFonts w:ascii="Arial" w:hAnsi="Arial" w:cs="Arial"/>
          <w:b/>
          <w:bCs/>
          <w:sz w:val="21"/>
          <w:szCs w:val="21"/>
        </w:rPr>
        <w:t>I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 (obłożenia, środki opatrunkowe, pozostałe materiały medyczne)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9</cp:revision>
  <dcterms:created xsi:type="dcterms:W3CDTF">2022-05-09T10:11:00Z</dcterms:created>
  <dcterms:modified xsi:type="dcterms:W3CDTF">2023-07-26T11:01:00Z</dcterms:modified>
</cp:coreProperties>
</file>