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2678C" w14:textId="77777777" w:rsidR="003169BB" w:rsidRDefault="003169BB">
      <w:pPr>
        <w:rPr>
          <w:lang w:val="pl-PL"/>
        </w:rPr>
      </w:pPr>
    </w:p>
    <w:p w14:paraId="78E49746" w14:textId="11490AD8" w:rsidR="003169BB" w:rsidRDefault="003169BB" w:rsidP="003169BB">
      <w:pPr>
        <w:jc w:val="right"/>
        <w:rPr>
          <w:lang w:val="pl-PL"/>
        </w:rPr>
      </w:pPr>
      <w:r w:rsidRPr="003169BB">
        <w:rPr>
          <w:lang w:val="pl-PL"/>
        </w:rPr>
        <w:t>załącznik nr 2 do SWZ / załącznik nr 1 do umowy</w:t>
      </w:r>
    </w:p>
    <w:p w14:paraId="1626A889" w14:textId="77777777" w:rsidR="003169BB" w:rsidRDefault="003169BB" w:rsidP="00655143">
      <w:pPr>
        <w:jc w:val="center"/>
        <w:rPr>
          <w:lang w:val="pl-PL"/>
        </w:rPr>
      </w:pPr>
    </w:p>
    <w:p w14:paraId="5F44EFF5" w14:textId="233DD525" w:rsidR="00655143" w:rsidRDefault="00655143" w:rsidP="00655143">
      <w:pPr>
        <w:jc w:val="center"/>
        <w:rPr>
          <w:lang w:val="pl-PL"/>
        </w:rPr>
      </w:pPr>
      <w:r>
        <w:rPr>
          <w:lang w:val="pl-PL"/>
        </w:rPr>
        <w:t>OPIS PRZEDMIOTU ZAMÓWIENIA</w:t>
      </w:r>
    </w:p>
    <w:p w14:paraId="641C5D2B" w14:textId="77777777" w:rsidR="003169BB" w:rsidRPr="003169BB" w:rsidRDefault="003169BB" w:rsidP="003169BB">
      <w:pPr>
        <w:ind w:left="-851"/>
        <w:rPr>
          <w:b/>
          <w:bCs/>
          <w:lang w:val="pl-PL"/>
        </w:rPr>
      </w:pPr>
      <w:r w:rsidRPr="003169BB">
        <w:rPr>
          <w:b/>
          <w:bCs/>
          <w:lang w:val="pl-PL"/>
        </w:rPr>
        <w:t xml:space="preserve">ZADANIE NR 2 </w:t>
      </w:r>
    </w:p>
    <w:tbl>
      <w:tblPr>
        <w:tblW w:w="10941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1277"/>
        <w:gridCol w:w="5386"/>
        <w:gridCol w:w="1672"/>
        <w:gridCol w:w="2606"/>
      </w:tblGrid>
      <w:tr w:rsidR="00093ED0" w:rsidRPr="00BD6783" w14:paraId="6F5AFA11" w14:textId="586C7F2C" w:rsidTr="00093ED0"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2AC012" w14:textId="77777777" w:rsidR="00093ED0" w:rsidRPr="00BD6783" w:rsidRDefault="00093ED0" w:rsidP="006D770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pl-PL" w:eastAsia="ar-SA"/>
              </w:rPr>
            </w:pPr>
          </w:p>
          <w:p w14:paraId="64175D16" w14:textId="192FF745" w:rsidR="00093ED0" w:rsidRPr="00BD6783" w:rsidRDefault="00093ED0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Monitor pacjenta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– </w:t>
            </w: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kardiomonitor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                                              </w:t>
            </w:r>
          </w:p>
        </w:tc>
        <w:tc>
          <w:tcPr>
            <w:tcW w:w="4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5792B9" w14:textId="4A0BA5A3" w:rsidR="00093ED0" w:rsidRPr="00BD6783" w:rsidRDefault="00093ED0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D03AB7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Parametr oferowany (szczegółowo opisać)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 xml:space="preserve">                                </w:t>
            </w:r>
          </w:p>
        </w:tc>
      </w:tr>
      <w:tr w:rsidR="00655143" w:rsidRPr="00D03AB7" w14:paraId="11A0B02A" w14:textId="77777777" w:rsidTr="00093ED0">
        <w:trPr>
          <w:trHeight w:val="9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0385FA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5EB6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System monitorowania pacjenta o budowie modułowej lub kompaktowo-modułowej, w technologii wymiennych modułów podłączanych podczas pracy przez użytkownika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4C2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072EF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331961F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C93023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8D25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560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0439F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8141953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058FCB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40C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Wszystkie elementy systemu monitorowania pacjenta chłodzone konwekcyjnie, pasywnie - bez użycia wentylatorów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66D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96FA7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0692673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61C5A6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AFD6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6D0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1F4A1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848E5A2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CF4CD10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BD0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Komunikacja z użytkownikiem w języku polskim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773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70B7D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7738EF6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9E325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3B0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tryb "Standby"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778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5F274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90548E6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740530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F1D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konfigurowalny tryb nocny: uruchamiany automatycznie w wybranych przez użytkownika godzinach. Przełączenie w tryb nocny zapewnia min. obniżenie jasności ekranu oraz poziomu głośności alarmów.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8FF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AF957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053E0241" w14:textId="77777777" w:rsidTr="006D7704">
        <w:trPr>
          <w:trHeight w:val="121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CA7D84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Zasilanie</w:t>
            </w:r>
          </w:p>
        </w:tc>
      </w:tr>
      <w:tr w:rsidR="00655143" w:rsidRPr="00D03AB7" w14:paraId="6B293B9A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E92E2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BDB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Zasilanie sieciowe, zgodne z PN, dostosowane do 230V/50Hz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527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92E35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B4B1699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7E0747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B3E6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lastRenderedPageBreak/>
              <w:t>zasilacza w ofercie ujęty uchwyt do montażu zasilacza na stanowisku pacjenta.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610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lastRenderedPageBreak/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C307D7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728FDBA9" w14:textId="77777777" w:rsidTr="006D7704">
        <w:trPr>
          <w:trHeight w:val="107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AEE4E5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Sposób montażu</w:t>
            </w:r>
          </w:p>
        </w:tc>
      </w:tr>
      <w:tr w:rsidR="00655143" w:rsidRPr="00D03AB7" w14:paraId="157233FB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3EAE49F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55175E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  <w:t>W zestawie dedykowany wózek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12556CC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7F79D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2759432C" w14:textId="77777777" w:rsidTr="006D7704">
        <w:trPr>
          <w:trHeight w:val="114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40D5DC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Wymogi funkcjonalne</w:t>
            </w:r>
          </w:p>
        </w:tc>
      </w:tr>
      <w:tr w:rsidR="00655143" w:rsidRPr="00D03AB7" w14:paraId="3F3C640B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672B83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F50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stacjonarny lub stacjonarno-transportowy wyposażony w dotykowy ekran panoramiczny o przekątnej min. 1</w:t>
            </w:r>
            <w:r>
              <w:rPr>
                <w:rFonts w:ascii="Calibri" w:hAnsi="Calibri" w:cs="Calibri"/>
                <w:color w:val="000000"/>
                <w:lang w:val="pl-PL"/>
              </w:rPr>
              <w:t>0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" i rozdzielczości min. 1366 x 768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</w:t>
            </w:r>
            <w:r w:rsidRPr="00BD6783">
              <w:rPr>
                <w:rFonts w:ascii="Calibri" w:hAnsi="Calibri" w:cs="Calibri"/>
                <w:color w:val="000000"/>
              </w:rPr>
              <w:t>Rozmiar ekranu dostępny w czasie monitorowania transportowego min. 6,2".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2DD1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0B72B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D2319E7" w14:textId="77777777" w:rsidTr="00093ED0">
        <w:trPr>
          <w:trHeight w:val="9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AD6CF1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728F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Możliwość podłączenia dodatkowego ekranu powielającego o przekątnej min. 19”. </w:t>
            </w:r>
            <w:r w:rsidRPr="00BD6783">
              <w:rPr>
                <w:rFonts w:ascii="Calibri" w:hAnsi="Calibri" w:cs="Calibri"/>
                <w:color w:val="000000"/>
              </w:rPr>
              <w:t>Ekran podłączany z wykorzystaniem złącza cyfrowego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CECA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78D22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A8F0287" w14:textId="77777777" w:rsidTr="00093ED0">
        <w:trPr>
          <w:trHeight w:val="9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6A596C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EED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Obsługa kardiomonitora poprzez ekran dotykowy lub ekran dotykowy i pokrętło funkcyjne. Możliwość podłączenia czytnika kodów kreskowych (standardowych i QR) do portu USB.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B88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38869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BB390DF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B60C21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1FBE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zaprogramowania min. 7 różnych konfiguracji (profili) monitora, zawierających m.in. ustawienia monitorowanych parametrów oraz widoki ekranów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1B17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01234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290E355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2C97D7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693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504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19745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397DAD6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B6DF07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0FF4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Dostępny tzw. ekran dużych liczb z możliwością podziału na 4 oraz 6 okien parametrów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D8FC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2271111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AA7002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8D2FAE8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3B322F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A57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stacjonarno-transportowy lub moduł transportowy przystosowany do warunków transportowych, odporny na upadek z wysokości przynajmniej 0,25m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8FF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0EC61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45A2B0E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0F0953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1DE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stacjonarno-transportowy lub moduł transportowy przystosowany do warunków transportowych, klasa odporności na zachlapanie wodą nie gorsza niż IPX2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B06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04C08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AEC5277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232A8E3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0B1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Masa monitora stacjonarno-transportowego lub modułu transportowego wraz z wbudowanym ekranem oraz akumulatorem nie przekracza 5,5 kg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70A8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42CE2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29D5B6E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724690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54E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Monitor stacjonarno-transportowy lub moduł transportowy umożliwia kontynuację monitorowania w czasie transportu przynajmniej następujących parametrów (zgodnie z ich wymogami opisanymi w dalszej części specyfikacji): EKG, SpO2, NIBP, 2x Temp., 2x IBP, z 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lastRenderedPageBreak/>
              <w:t>możliwością rozbudowy o pomiar CO2 w strumieniu bocznym, w zależności od podłączonych modułów pomiarowych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B6168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lastRenderedPageBreak/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849D9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1BC2D9F4" w14:textId="77777777" w:rsidTr="006D7704">
        <w:trPr>
          <w:trHeight w:val="114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C954B0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Monitorowane parametry</w:t>
            </w:r>
          </w:p>
        </w:tc>
      </w:tr>
      <w:tr w:rsidR="00655143" w:rsidRPr="00D03AB7" w14:paraId="6E780F0E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301C5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000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EKG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34B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48A1E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F8610F9" w14:textId="77777777" w:rsidTr="00093ED0">
        <w:trPr>
          <w:trHeight w:val="9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EE67AC2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22E4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6A6F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CAE37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21EC35C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45DCC5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7A3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Jednoczesna prezentacja przynajmniej 3 kanałów EKG na ekranie głównym kardiomonitora: 3 różne odprowadzenia lub 1 odprowadzenie w formie kaskady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35A1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470F3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3E1F879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139843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7CD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częstości akcji serca w zakresie min. 20 - 300 ud/min. z dokładnością +/- 1% lub +/- 1ud/min.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05F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AFA1E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3A5DE67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F061B96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3D5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W komplecie: przewód do podłączenia 5- elektrod dla dorosłych i dzieci. </w:t>
            </w:r>
            <w:r w:rsidRPr="005728CE">
              <w:rPr>
                <w:rFonts w:ascii="Calibri" w:hAnsi="Calibri" w:cs="Calibri"/>
                <w:color w:val="000000"/>
                <w:lang w:val="pl-PL"/>
              </w:rPr>
              <w:t>Długość przewodów przynajmniej 3m.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B8D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ED536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6058A94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51E78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75F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Analiza arytmii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86F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64330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FA5C695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A201B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B5C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Wieloodprowadzeniowa analiza arytmii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98E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093792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4E61D52E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5C04D93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B53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Analiza arytmii w przynajmniej 4 odprowadzeniach EKG jednocześnie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4E1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7BCD579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A52AA6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19ABA7E9" w14:textId="77777777" w:rsidTr="00093ED0">
        <w:trPr>
          <w:trHeight w:val="107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A3C2C5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EBFC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Zaawansowana analiza arytmii wg przynajmniej 12 definicji z rozpoznawaniem arytmii komorowych i przedsionkowych, w tym migotania przedsionków.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026E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30940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DD609D2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955678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076E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Analiza ST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C8D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8C138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7F99134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74386C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FAD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Analiza odcinka ST w 12 odprowadzeniach jednocześnie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669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C7AB0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97A6F84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C44210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D8A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Zakres pomiarowy analizy odcinka ST min. -15,0 -(+) 15,0 mm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EAC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BA487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23517F8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1511F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0F1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Oddech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86B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1B7A7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BA918BC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9E5538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DC2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częstości oddechu metodą impedancyjną w zakresie min. 4-120 odd/min.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4AA25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802F7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77F2F30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126A27E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661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Prezentacja częstości oddechu oraz krzywej oddechowej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0BB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53AF7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689E523" w14:textId="77777777" w:rsidTr="00093ED0">
        <w:trPr>
          <w:trHeight w:val="114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421ECC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7A9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Saturacja (SpO2)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A2E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BD5C4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8C08998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328454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C5A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wysycenia hemoglobiny tlenem, z wykorzystaniem algorytmu odpornego na niską perfuzję i artefakty ruchowe: TruSignal lub Masimo rainbow SET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8F9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79BFD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6A2007E9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6B6FC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CE4F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saturacji w zakresie min. 70-100%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877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1FAC41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4AAAE7E1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9DC6EB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C3C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Prezentacja wartości saturacji, krzywej pletyzmograficznej i wskaźnika perfuzji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FDA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164D94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2A51961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8E76A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AF5A8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wyboru SPO2 jako źródła częstości rytmu serca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F3B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B88A7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DA1EBD2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2CB546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268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Modulacja dźwięku tętna przy zmianie wartości % SpO2.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CBA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FF8BC5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AFDB247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7E09674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BEB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W komplecie: przewód podłączeniowy dł. min. 3m oraz wielorazowy czujnik na palec dla dorosłych. </w:t>
            </w:r>
            <w:r w:rsidRPr="002631CC">
              <w:rPr>
                <w:rFonts w:ascii="Calibri" w:hAnsi="Calibri" w:cs="Calibri"/>
                <w:color w:val="000000"/>
                <w:lang w:val="pl-PL"/>
              </w:rPr>
              <w:t>Oryginalne akcesoria pomiarowe producenta algorytmu pomiarowego.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BBB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2631CC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05F10F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723E7E9" w14:textId="77777777" w:rsidTr="00093ED0">
        <w:trPr>
          <w:trHeight w:val="121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1AD21F0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CD5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metodą nieinwazyjną (NIBP)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D561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63C25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9682AA6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784C11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07B5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tętniczego metodą oscylometryczną.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58A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1F28AB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D7406AF" w14:textId="77777777" w:rsidTr="00093ED0">
        <w:trPr>
          <w:trHeight w:val="14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C38E5F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0F6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Pomiar ręczny na żądanie, ciągły przez określony czas oraz automatyczny. </w:t>
            </w:r>
            <w:r w:rsidRPr="00BD6783">
              <w:rPr>
                <w:rFonts w:ascii="Calibri" w:hAnsi="Calibri" w:cs="Calibri"/>
                <w:color w:val="000000"/>
              </w:rPr>
              <w:t>Zakres przedziałów czasowych w trybie automatycznym przynajmniej 1 - 120 minut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674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89544F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3D9FE05" w14:textId="77777777" w:rsidTr="00093ED0">
        <w:trPr>
          <w:trHeight w:val="128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73132F3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8A24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Funkcja stazy żylnej.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563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13DB8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07960050" w14:textId="77777777" w:rsidTr="00093ED0">
        <w:trPr>
          <w:trHeight w:val="14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CF2EB5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6D9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zaprogramowania własnych cykli pomiarowych NIBP, składających się z min. 4 kroków z możliwością indywidualnej konfiguracji liczby powtórzeń oraz interwału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969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7DE6236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E90CA0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5BB42F5D" w14:textId="77777777" w:rsidTr="00093ED0">
        <w:trPr>
          <w:trHeight w:val="109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096BAA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89D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w zakresie przynajmniej od 10 mmHg dla ciśnienia rozkurczowego do 250 mmHg dla ciśnienia skurczowego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1E9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3F47D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F04B622" w14:textId="77777777" w:rsidTr="00093ED0">
        <w:trPr>
          <w:trHeight w:val="143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A89F354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B09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Prezentacja wartości: skurczowej, rozkurczowej oraz średniej. Możliwość wyświetlania listy ostatnich wyników pomiarów NIBP na ekranie głównym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3B5F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6E782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527512D9" w14:textId="77777777" w:rsidTr="00093ED0">
        <w:trPr>
          <w:trHeight w:val="102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CBE5C8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02A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W komplecie: wężyk z szybkozłączką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523C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7981C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7191F8A8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0610152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959B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 xml:space="preserve">Mankiety dla pacjentów otyłych stożkowe, dedykowane i walidowane do pomiaru na przedramieniu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4E0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50B2198A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8AA969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08049669" w14:textId="77777777" w:rsidTr="00093ED0">
        <w:trPr>
          <w:trHeight w:val="12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7FD4B3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D63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Temperatura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2C1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C9EFE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5858ECF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30ADD70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A5E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Pomiar temperatury w 2 kanałach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F295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B16BE8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871A684" w14:textId="77777777" w:rsidTr="00093ED0">
        <w:trPr>
          <w:trHeight w:val="11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C44169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4B6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Jednoczesna prezentacja w polu parametru temperatury na ekranie głównym monitora stacjonarnego min. 2 wartości temperatury jednocześnie: obu zmierzonych lub jednej zmierzonej i różnicy temperatur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FD52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5058F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7F5C3ED" w14:textId="77777777" w:rsidTr="00093ED0">
        <w:trPr>
          <w:trHeight w:val="14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B0DE4ED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432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ustawienia etykiet temperatur wg. miejsca pomiaru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B81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E1152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3C721DC" w14:textId="77777777" w:rsidTr="00093ED0">
        <w:trPr>
          <w:trHeight w:val="3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A6A228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8CA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W komplecie: wielorazowy czujnik temperatury skóry dla dorosłych..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8C36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16B269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88230EA" w14:textId="77777777" w:rsidTr="00093ED0">
        <w:trPr>
          <w:trHeight w:val="12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96AEC35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8DB0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metodą inwazyjną (IBP)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6A0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ABBD1A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0E16F8BB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59B49C4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A5F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metodą inwazyjną w 2 kanałach. Możliwość rozbudowy do przynajmniej 3 kanałów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C72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31B9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43B6C3E" w14:textId="77777777" w:rsidTr="00093ED0">
        <w:trPr>
          <w:trHeight w:val="135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250D53C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1439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Pomiar ciśnienia w zakresie przynajmniej -20 do 320 mmHg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95B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pl-PL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1A54F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2C8C1361" w14:textId="77777777" w:rsidTr="006D7704">
        <w:trPr>
          <w:trHeight w:val="120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B44370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Alarmy</w:t>
            </w:r>
          </w:p>
        </w:tc>
      </w:tr>
      <w:tr w:rsidR="00655143" w:rsidRPr="00D03AB7" w14:paraId="58C345B5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4D0351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D727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A93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229537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D42BB66" w14:textId="77777777" w:rsidTr="00093ED0">
        <w:trPr>
          <w:trHeight w:val="12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6560BB7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58F3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Możliwość zmiany priorytetu alarmów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D4A93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E2E39C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13D39F57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41C2F32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3D72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Alarmy techniczne z podaniem przyczyny.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125AB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8ED02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7D7922F8" w14:textId="77777777" w:rsidTr="00093ED0">
        <w:trPr>
          <w:trHeight w:val="13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894912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1D9D1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ED7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6A923D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32039AE6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B3F8B3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9D7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Granice regulowane indywidualnie - w oknach poszczególnych parametrów - oraz zbiorczo, w oknie ustawień alarmów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4765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1D6DA2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B930105" w14:textId="77777777" w:rsidTr="00093ED0">
        <w:trPr>
          <w:trHeight w:val="8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F5A2D9F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12ED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wyciszenia alarmów. Czas wyciszenia alarmów przynajmniej: 2 minuty oraz bez limitu czasowego.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EE4E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DA08D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D03AB7" w14:paraId="2E0C8E6E" w14:textId="77777777" w:rsidTr="00093ED0">
        <w:trPr>
          <w:trHeight w:val="11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19AE486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BBFF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253D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3B7BE3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BD6783" w14:paraId="2B54497A" w14:textId="77777777" w:rsidTr="006D7704">
        <w:trPr>
          <w:trHeight w:val="100"/>
        </w:trPr>
        <w:tc>
          <w:tcPr>
            <w:tcW w:w="1094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C0D912" w14:textId="77777777" w:rsidR="00655143" w:rsidRPr="00BD6783" w:rsidRDefault="00655143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Analiza danych</w:t>
            </w:r>
          </w:p>
        </w:tc>
      </w:tr>
      <w:tr w:rsidR="00655143" w:rsidRPr="00D03AB7" w14:paraId="0B7DF8A8" w14:textId="77777777" w:rsidTr="00093ED0">
        <w:trPr>
          <w:trHeight w:val="13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B93A12A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ABEA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Stanowisko monitorowania pacjenta wyposażone w pamięć trendów z ostatnich min. 96 godzin.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F9D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TAK, podać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99772E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6677455D" w14:textId="77777777" w:rsidTr="00093ED0">
        <w:trPr>
          <w:trHeight w:val="15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AB8E971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9EE5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pamięć przynajmniej 168 godzin trendów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8100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122D8D4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90CF8D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  <w:tr w:rsidR="00655143" w:rsidRPr="00D03AB7" w14:paraId="1FE53055" w14:textId="77777777" w:rsidTr="00093ED0">
        <w:trPr>
          <w:trHeight w:val="9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ACE56B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EB2C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Możliwość wyświetlania trendów w formie graficznej i tabelarycznej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E4C2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 </w:t>
            </w: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279E00" w14:textId="77777777" w:rsidR="00655143" w:rsidRPr="00D03AB7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</w:p>
        </w:tc>
      </w:tr>
      <w:tr w:rsidR="00655143" w:rsidRPr="008C6923" w14:paraId="06009446" w14:textId="77777777" w:rsidTr="00093ED0">
        <w:trPr>
          <w:trHeight w:val="100"/>
        </w:trPr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7BE78C" w14:textId="77777777" w:rsidR="00655143" w:rsidRPr="00BD6783" w:rsidRDefault="00655143" w:rsidP="006D7704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C851" w14:textId="77777777" w:rsidR="00655143" w:rsidRPr="00BD6783" w:rsidRDefault="00655143" w:rsidP="006D7704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pl-PL" w:eastAsia="ar-SA"/>
              </w:rPr>
            </w:pPr>
            <w:r w:rsidRPr="00BD6783">
              <w:rPr>
                <w:rFonts w:ascii="Calibri" w:hAnsi="Calibri" w:cs="Calibri"/>
                <w:color w:val="000000"/>
                <w:lang w:val="pl-PL"/>
              </w:rPr>
              <w:t>Monitor wyposażony w funkcję przenoszenia konfiguracji oraz trendów parametrów życiowych pacjenta za pośrednictwem pamięci USB. Funkcja eksportu trendów zabezpieczona przed niepowołanym dostępem, trendy eksportowane w formie zanonimizowanej, zaszyfrowanej w formacie umożliwiającym odczyt z wykorzystaniem pakietu MS Excel lub Acrobat Reader.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98D4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TAK – 5 PKT</w:t>
            </w:r>
          </w:p>
          <w:p w14:paraId="197EC8D9" w14:textId="77777777" w:rsidR="00655143" w:rsidRPr="00BD6783" w:rsidRDefault="00655143" w:rsidP="006D7704">
            <w:pPr>
              <w:tabs>
                <w:tab w:val="left" w:pos="76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color w:val="000000"/>
                <w:sz w:val="20"/>
                <w:szCs w:val="20"/>
                <w:lang w:val="pl-PL" w:eastAsia="ar-SA"/>
              </w:rPr>
              <w:t>NIE – 0 PKT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EBD96A" w14:textId="77777777" w:rsidR="00655143" w:rsidRPr="008C6923" w:rsidRDefault="00655143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val="pl-PL" w:eastAsia="ar-SA"/>
              </w:rPr>
            </w:pPr>
          </w:p>
        </w:tc>
      </w:tr>
    </w:tbl>
    <w:p w14:paraId="096EA4A7" w14:textId="77777777" w:rsidR="00655143" w:rsidRDefault="00655143">
      <w:pPr>
        <w:rPr>
          <w:lang w:val="pl-PL"/>
        </w:rPr>
      </w:pPr>
    </w:p>
    <w:p w14:paraId="55A63A00" w14:textId="77777777" w:rsidR="00655143" w:rsidRDefault="00655143">
      <w:pPr>
        <w:rPr>
          <w:lang w:val="pl-PL"/>
        </w:rPr>
      </w:pPr>
    </w:p>
    <w:p w14:paraId="2F5307EE" w14:textId="77777777" w:rsidR="00655143" w:rsidRDefault="00655143" w:rsidP="00655143">
      <w:pPr>
        <w:rPr>
          <w:lang w:val="pl-PL"/>
        </w:rPr>
      </w:pPr>
      <w:r>
        <w:rPr>
          <w:lang w:val="pl-PL"/>
        </w:rPr>
        <w:t>OFERTA POWINNA ZAWIERAĆ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57"/>
        <w:gridCol w:w="2051"/>
        <w:gridCol w:w="1266"/>
        <w:gridCol w:w="1364"/>
        <w:gridCol w:w="1298"/>
        <w:gridCol w:w="862"/>
        <w:gridCol w:w="1247"/>
        <w:gridCol w:w="1273"/>
      </w:tblGrid>
      <w:tr w:rsidR="003169BB" w14:paraId="6F682F41" w14:textId="55004B84" w:rsidTr="003169BB">
        <w:tc>
          <w:tcPr>
            <w:tcW w:w="562" w:type="dxa"/>
          </w:tcPr>
          <w:p w14:paraId="1F63FE38" w14:textId="4E3883A4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Lp.</w:t>
            </w:r>
          </w:p>
        </w:tc>
        <w:tc>
          <w:tcPr>
            <w:tcW w:w="2103" w:type="dxa"/>
          </w:tcPr>
          <w:p w14:paraId="5A1C6C21" w14:textId="77777777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Nazwa przedmiotu</w:t>
            </w:r>
          </w:p>
        </w:tc>
        <w:tc>
          <w:tcPr>
            <w:tcW w:w="1329" w:type="dxa"/>
          </w:tcPr>
          <w:p w14:paraId="4A6ACBC5" w14:textId="77777777" w:rsidR="00093ED0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Ilość</w:t>
            </w:r>
            <w:r w:rsidR="00093ED0">
              <w:rPr>
                <w:lang w:val="pl-PL"/>
              </w:rPr>
              <w:t xml:space="preserve"> </w:t>
            </w:r>
          </w:p>
          <w:p w14:paraId="0F6D1A43" w14:textId="21440B1B" w:rsidR="003169BB" w:rsidRDefault="00093ED0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(szt.)</w:t>
            </w:r>
          </w:p>
        </w:tc>
        <w:tc>
          <w:tcPr>
            <w:tcW w:w="1364" w:type="dxa"/>
          </w:tcPr>
          <w:p w14:paraId="679541DF" w14:textId="23FCC755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Cena jednostkowa netto</w:t>
            </w:r>
          </w:p>
        </w:tc>
        <w:tc>
          <w:tcPr>
            <w:tcW w:w="1332" w:type="dxa"/>
          </w:tcPr>
          <w:p w14:paraId="640CF76E" w14:textId="77777777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Wartość netto</w:t>
            </w:r>
          </w:p>
        </w:tc>
        <w:tc>
          <w:tcPr>
            <w:tcW w:w="676" w:type="dxa"/>
          </w:tcPr>
          <w:p w14:paraId="607D149F" w14:textId="668BD010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Vat (%)</w:t>
            </w:r>
          </w:p>
        </w:tc>
        <w:tc>
          <w:tcPr>
            <w:tcW w:w="1276" w:type="dxa"/>
          </w:tcPr>
          <w:p w14:paraId="398CF38D" w14:textId="77777777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Wartość brutto</w:t>
            </w:r>
          </w:p>
        </w:tc>
        <w:tc>
          <w:tcPr>
            <w:tcW w:w="1276" w:type="dxa"/>
          </w:tcPr>
          <w:p w14:paraId="075DDE19" w14:textId="2B9F51AD" w:rsidR="003169BB" w:rsidRDefault="003169BB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Producent / nazwa własna / nr katalogowy</w:t>
            </w:r>
          </w:p>
        </w:tc>
      </w:tr>
      <w:tr w:rsidR="003169BB" w14:paraId="79359196" w14:textId="371E2213" w:rsidTr="003169BB">
        <w:tc>
          <w:tcPr>
            <w:tcW w:w="562" w:type="dxa"/>
          </w:tcPr>
          <w:p w14:paraId="0AE9B1F3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2103" w:type="dxa"/>
          </w:tcPr>
          <w:p w14:paraId="425C68F4" w14:textId="6BD445FE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Kardiomonitor 10 cali</w:t>
            </w:r>
          </w:p>
        </w:tc>
        <w:tc>
          <w:tcPr>
            <w:tcW w:w="1329" w:type="dxa"/>
          </w:tcPr>
          <w:p w14:paraId="6E3342E3" w14:textId="3BDE2ED7" w:rsidR="003169BB" w:rsidRDefault="00093ED0" w:rsidP="003169BB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364" w:type="dxa"/>
          </w:tcPr>
          <w:p w14:paraId="3F99EE09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0F4D9495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2E49CC48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602EA9D1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1A0E0733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7216CF9E" w14:textId="2736F044" w:rsidTr="003169BB">
        <w:tc>
          <w:tcPr>
            <w:tcW w:w="562" w:type="dxa"/>
          </w:tcPr>
          <w:p w14:paraId="171F1F75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2103" w:type="dxa"/>
          </w:tcPr>
          <w:p w14:paraId="200677A4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dostawy</w:t>
            </w:r>
          </w:p>
        </w:tc>
        <w:tc>
          <w:tcPr>
            <w:tcW w:w="1329" w:type="dxa"/>
          </w:tcPr>
          <w:p w14:paraId="33288188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33FE05AA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332C1AA2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3E068474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1B143A8C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01AC382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511F2C7B" w14:textId="46F2BC4E" w:rsidTr="003169BB">
        <w:tc>
          <w:tcPr>
            <w:tcW w:w="562" w:type="dxa"/>
          </w:tcPr>
          <w:p w14:paraId="7027DA87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2103" w:type="dxa"/>
          </w:tcPr>
          <w:p w14:paraId="43F7703E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zainstalowania sprzętu</w:t>
            </w:r>
          </w:p>
        </w:tc>
        <w:tc>
          <w:tcPr>
            <w:tcW w:w="1329" w:type="dxa"/>
          </w:tcPr>
          <w:p w14:paraId="0699D677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56C541D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687B87D4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6616CF18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1413A7F5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692EE682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40E1A2B7" w14:textId="474E08D4" w:rsidTr="003169BB">
        <w:tc>
          <w:tcPr>
            <w:tcW w:w="562" w:type="dxa"/>
          </w:tcPr>
          <w:p w14:paraId="33FA59A7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2103" w:type="dxa"/>
          </w:tcPr>
          <w:p w14:paraId="264E35E2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serwisowania sprzętu w okresie gwarancji</w:t>
            </w:r>
          </w:p>
        </w:tc>
        <w:tc>
          <w:tcPr>
            <w:tcW w:w="1329" w:type="dxa"/>
          </w:tcPr>
          <w:p w14:paraId="2175ED41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41B9B6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72256826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201980AE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0D6A44E4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17B593AC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3169BB" w14:paraId="35F02D34" w14:textId="2BEEDB1E" w:rsidTr="003169BB">
        <w:tc>
          <w:tcPr>
            <w:tcW w:w="562" w:type="dxa"/>
          </w:tcPr>
          <w:p w14:paraId="2B2C0FB0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  <w:tc>
          <w:tcPr>
            <w:tcW w:w="2103" w:type="dxa"/>
          </w:tcPr>
          <w:p w14:paraId="5462982C" w14:textId="77777777" w:rsidR="003169BB" w:rsidRDefault="003169BB" w:rsidP="003169BB">
            <w:pPr>
              <w:rPr>
                <w:lang w:val="pl-PL"/>
              </w:rPr>
            </w:pPr>
            <w:r>
              <w:rPr>
                <w:lang w:val="pl-PL"/>
              </w:rPr>
              <w:t>Koszt przeszkolenia personelu w zakresie obsługi sprzętu</w:t>
            </w:r>
          </w:p>
        </w:tc>
        <w:tc>
          <w:tcPr>
            <w:tcW w:w="1329" w:type="dxa"/>
          </w:tcPr>
          <w:p w14:paraId="6574A387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6B26030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332" w:type="dxa"/>
          </w:tcPr>
          <w:p w14:paraId="4420EBBA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</w:tcPr>
          <w:p w14:paraId="3E0013B0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</w:tcPr>
          <w:p w14:paraId="24002DF7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l2br w:val="single" w:sz="4" w:space="0" w:color="auto"/>
              <w:tr2bl w:val="single" w:sz="4" w:space="0" w:color="auto"/>
            </w:tcBorders>
          </w:tcPr>
          <w:p w14:paraId="0558D921" w14:textId="77777777" w:rsidR="003169BB" w:rsidRDefault="003169BB" w:rsidP="003169BB">
            <w:pPr>
              <w:jc w:val="center"/>
              <w:rPr>
                <w:lang w:val="pl-PL"/>
              </w:rPr>
            </w:pPr>
          </w:p>
        </w:tc>
      </w:tr>
      <w:tr w:rsidR="00F54055" w14:paraId="486D3BE3" w14:textId="77777777" w:rsidTr="00F5405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A52E" w14:textId="0930B139" w:rsidR="00F54055" w:rsidRDefault="00F54055" w:rsidP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9746" w14:textId="4B832166" w:rsidR="00F54055" w:rsidRDefault="00F54055" w:rsidP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2FCC" w14:textId="440D53C0" w:rsidR="00F54055" w:rsidRDefault="00F54055" w:rsidP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701" w14:textId="1D7B6B58" w:rsidR="00F54055" w:rsidRDefault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RAZEM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4FA9" w14:textId="77777777" w:rsidR="00F54055" w:rsidRDefault="00F54055">
            <w:pPr>
              <w:jc w:val="center"/>
              <w:rPr>
                <w:lang w:val="pl-PL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C842" w14:textId="55F4FFF6" w:rsidR="00F54055" w:rsidRDefault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58DB" w14:textId="77777777" w:rsidR="00F54055" w:rsidRDefault="00F54055">
            <w:pPr>
              <w:jc w:val="center"/>
              <w:rPr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8AF9" w14:textId="7B3A400B" w:rsidR="00F54055" w:rsidRDefault="00F5405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</w:tr>
    </w:tbl>
    <w:p w14:paraId="5A0300E0" w14:textId="77777777" w:rsidR="00655143" w:rsidRDefault="00655143" w:rsidP="00655143">
      <w:pPr>
        <w:rPr>
          <w:lang w:val="pl-PL"/>
        </w:rPr>
      </w:pPr>
    </w:p>
    <w:p w14:paraId="4AC02EFC" w14:textId="5CC0DF16" w:rsidR="00655143" w:rsidRPr="00F54055" w:rsidRDefault="00F54055">
      <w:pPr>
        <w:rPr>
          <w:u w:val="single"/>
          <w:lang w:val="pl-PL"/>
        </w:rPr>
      </w:pPr>
      <w:r w:rsidRPr="00F54055">
        <w:rPr>
          <w:u w:val="single"/>
          <w:lang w:val="pl-PL"/>
        </w:rPr>
        <w:t>UWAGA: Zamawiający podaje sposób wyliczenia wartości netto i brutto:</w:t>
      </w:r>
    </w:p>
    <w:p w14:paraId="02F48BA9" w14:textId="77777777" w:rsidR="00F54055" w:rsidRPr="00F54055" w:rsidRDefault="00F54055" w:rsidP="00F54055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F5405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Cena jednostkowa netto x ilość = wartość netto</w:t>
      </w:r>
    </w:p>
    <w:p w14:paraId="51B5AD18" w14:textId="77777777" w:rsidR="00F54055" w:rsidRPr="00F54055" w:rsidRDefault="00F54055" w:rsidP="00F54055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F5405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Wartość netto + stawka podatku Vat = wartość brutto</w:t>
      </w:r>
    </w:p>
    <w:p w14:paraId="7282980B" w14:textId="77777777" w:rsidR="00F54055" w:rsidRPr="00F54055" w:rsidRDefault="00F54055">
      <w:pPr>
        <w:rPr>
          <w:rFonts w:cstheme="minorHAnsi"/>
          <w:lang w:val="pl-PL"/>
        </w:rPr>
      </w:pPr>
    </w:p>
    <w:p w14:paraId="14423AFE" w14:textId="77777777" w:rsidR="00F54055" w:rsidRPr="00F54055" w:rsidRDefault="00F54055" w:rsidP="00F54055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</w:pPr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t xml:space="preserve">Brak wypełnienia kolumn wskazanych dla Wykonawcy spowoduje odrzucenie oferty na podstawie art. 226 </w:t>
      </w:r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br/>
        <w:t>ust. 1 pkt. 5 ustawy Pzp.</w:t>
      </w:r>
    </w:p>
    <w:p w14:paraId="197D6B7E" w14:textId="77777777" w:rsid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178FBCA1" w14:textId="77777777" w:rsid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5325FA66" w14:textId="77777777" w:rsid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18598F34" w14:textId="3ED76AFF" w:rsidR="00F54055" w:rsidRPr="00F54055" w:rsidRDefault="00F54055" w:rsidP="00F54055">
      <w:pPr>
        <w:jc w:val="both"/>
        <w:rPr>
          <w:rFonts w:ascii="Calibri" w:eastAsia="Times New Roman" w:hAnsi="Calibri" w:cs="Calibri"/>
          <w:b/>
          <w:bCs/>
          <w:color w:val="000000"/>
          <w:lang w:val="pl-PL" w:eastAsia="pl-PL"/>
        </w:rPr>
      </w:pPr>
      <w:r w:rsidRPr="00F54055">
        <w:rPr>
          <w:rFonts w:ascii="Calibri" w:eastAsia="Times New Roman" w:hAnsi="Calibri" w:cs="Calibri"/>
          <w:b/>
          <w:bCs/>
          <w:color w:val="000000"/>
          <w:lang w:val="pl-PL" w:eastAsia="pl-PL"/>
        </w:rPr>
        <w:t xml:space="preserve">   WYKONAWCA</w:t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F54055">
        <w:rPr>
          <w:rFonts w:ascii="Calibri" w:eastAsia="Times New Roman" w:hAnsi="Calibri" w:cs="Calibri"/>
          <w:b/>
          <w:bCs/>
          <w:color w:val="000000"/>
          <w:lang w:val="pl-PL" w:eastAsia="pl-PL"/>
        </w:rPr>
        <w:t>ZAMAWIAJĄCY</w:t>
      </w:r>
    </w:p>
    <w:p w14:paraId="0869B6B9" w14:textId="6F17008B" w:rsidR="00F54055" w:rsidRPr="00F54055" w:rsidRDefault="00F54055" w:rsidP="00F54055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val="pl-PL" w:eastAsia="pl-PL"/>
        </w:rPr>
      </w:pPr>
    </w:p>
    <w:p w14:paraId="7A3890D9" w14:textId="77777777" w:rsidR="00F54055" w:rsidRPr="00F54055" w:rsidRDefault="00F54055" w:rsidP="00F54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3B688A01" w14:textId="77777777" w:rsidR="00F54055" w:rsidRPr="00EF4C4A" w:rsidRDefault="00F54055">
      <w:pPr>
        <w:rPr>
          <w:lang w:val="pl-PL"/>
        </w:rPr>
      </w:pPr>
    </w:p>
    <w:sectPr w:rsidR="00F54055" w:rsidRPr="00EF4C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B2A64" w14:textId="77777777" w:rsidR="00705087" w:rsidRDefault="00705087" w:rsidP="007D28C9">
      <w:pPr>
        <w:spacing w:after="0" w:line="240" w:lineRule="auto"/>
      </w:pPr>
      <w:r>
        <w:separator/>
      </w:r>
    </w:p>
  </w:endnote>
  <w:endnote w:type="continuationSeparator" w:id="0">
    <w:p w14:paraId="1E21C15B" w14:textId="77777777" w:rsidR="00705087" w:rsidRDefault="00705087" w:rsidP="007D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6A7C2" w14:textId="77777777" w:rsidR="00705087" w:rsidRDefault="00705087" w:rsidP="007D28C9">
      <w:pPr>
        <w:spacing w:after="0" w:line="240" w:lineRule="auto"/>
      </w:pPr>
      <w:r>
        <w:separator/>
      </w:r>
    </w:p>
  </w:footnote>
  <w:footnote w:type="continuationSeparator" w:id="0">
    <w:p w14:paraId="534C58E4" w14:textId="77777777" w:rsidR="00705087" w:rsidRDefault="00705087" w:rsidP="007D2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16"/>
      </w:rPr>
    </w:lvl>
  </w:abstractNum>
  <w:abstractNum w:abstractNumId="3" w15:restartNumberingAfterBreak="0">
    <w:nsid w:val="00000006"/>
    <w:multiLevelType w:val="singleLevel"/>
    <w:tmpl w:val="00000006"/>
    <w:name w:val="WW8Num2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16"/>
      </w:rPr>
    </w:lvl>
  </w:abstractNum>
  <w:abstractNum w:abstractNumId="4" w15:restartNumberingAfterBreak="0">
    <w:nsid w:val="01B11BB9"/>
    <w:multiLevelType w:val="hybridMultilevel"/>
    <w:tmpl w:val="97A8A9D0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E4EEC"/>
    <w:multiLevelType w:val="hybridMultilevel"/>
    <w:tmpl w:val="1A48AF26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B519A"/>
    <w:multiLevelType w:val="multilevel"/>
    <w:tmpl w:val="81762E5C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" w15:restartNumberingAfterBreak="0">
    <w:nsid w:val="37A854A7"/>
    <w:multiLevelType w:val="hybridMultilevel"/>
    <w:tmpl w:val="A8AE8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9502E"/>
    <w:multiLevelType w:val="hybridMultilevel"/>
    <w:tmpl w:val="63287B1C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D2F35"/>
    <w:multiLevelType w:val="multilevel"/>
    <w:tmpl w:val="A27268E6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41D37080"/>
    <w:multiLevelType w:val="hybridMultilevel"/>
    <w:tmpl w:val="6B2CE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8D736B"/>
    <w:multiLevelType w:val="hybridMultilevel"/>
    <w:tmpl w:val="48544786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C0016"/>
    <w:multiLevelType w:val="multilevel"/>
    <w:tmpl w:val="D2128F98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643F07E3"/>
    <w:multiLevelType w:val="hybridMultilevel"/>
    <w:tmpl w:val="48821CB4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55411"/>
    <w:multiLevelType w:val="hybridMultilevel"/>
    <w:tmpl w:val="960E3730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6252A"/>
    <w:multiLevelType w:val="hybridMultilevel"/>
    <w:tmpl w:val="0D5CE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37BBC"/>
    <w:multiLevelType w:val="hybridMultilevel"/>
    <w:tmpl w:val="6FFC744C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995326">
    <w:abstractNumId w:val="0"/>
  </w:num>
  <w:num w:numId="2" w16cid:durableId="403651018">
    <w:abstractNumId w:val="15"/>
  </w:num>
  <w:num w:numId="3" w16cid:durableId="1474370099">
    <w:abstractNumId w:val="1"/>
  </w:num>
  <w:num w:numId="4" w16cid:durableId="1923954441">
    <w:abstractNumId w:val="3"/>
  </w:num>
  <w:num w:numId="5" w16cid:durableId="559485654">
    <w:abstractNumId w:val="2"/>
  </w:num>
  <w:num w:numId="6" w16cid:durableId="108746700">
    <w:abstractNumId w:val="16"/>
  </w:num>
  <w:num w:numId="7" w16cid:durableId="2005275515">
    <w:abstractNumId w:val="5"/>
  </w:num>
  <w:num w:numId="8" w16cid:durableId="1878932484">
    <w:abstractNumId w:val="4"/>
  </w:num>
  <w:num w:numId="9" w16cid:durableId="1896310196">
    <w:abstractNumId w:val="11"/>
  </w:num>
  <w:num w:numId="10" w16cid:durableId="295448227">
    <w:abstractNumId w:val="14"/>
  </w:num>
  <w:num w:numId="11" w16cid:durableId="1583375978">
    <w:abstractNumId w:val="8"/>
  </w:num>
  <w:num w:numId="12" w16cid:durableId="1700735505">
    <w:abstractNumId w:val="13"/>
  </w:num>
  <w:num w:numId="13" w16cid:durableId="555511617">
    <w:abstractNumId w:val="10"/>
  </w:num>
  <w:num w:numId="14" w16cid:durableId="168522334">
    <w:abstractNumId w:val="7"/>
  </w:num>
  <w:num w:numId="15" w16cid:durableId="1823740080">
    <w:abstractNumId w:val="9"/>
  </w:num>
  <w:num w:numId="16" w16cid:durableId="1585332519">
    <w:abstractNumId w:val="6"/>
  </w:num>
  <w:num w:numId="17" w16cid:durableId="9817351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AB7"/>
    <w:rsid w:val="00012BF7"/>
    <w:rsid w:val="00084483"/>
    <w:rsid w:val="00093ED0"/>
    <w:rsid w:val="00115437"/>
    <w:rsid w:val="0012418A"/>
    <w:rsid w:val="001632A0"/>
    <w:rsid w:val="002631CC"/>
    <w:rsid w:val="00280829"/>
    <w:rsid w:val="002A4CE7"/>
    <w:rsid w:val="003169BB"/>
    <w:rsid w:val="00385825"/>
    <w:rsid w:val="004635F7"/>
    <w:rsid w:val="0048236D"/>
    <w:rsid w:val="004B75FA"/>
    <w:rsid w:val="004E35EE"/>
    <w:rsid w:val="004F3940"/>
    <w:rsid w:val="005728CE"/>
    <w:rsid w:val="00655143"/>
    <w:rsid w:val="006730E9"/>
    <w:rsid w:val="006A4F11"/>
    <w:rsid w:val="00705087"/>
    <w:rsid w:val="00796FF3"/>
    <w:rsid w:val="007D28C9"/>
    <w:rsid w:val="008C6923"/>
    <w:rsid w:val="009276C5"/>
    <w:rsid w:val="00A71637"/>
    <w:rsid w:val="00BB0FEE"/>
    <w:rsid w:val="00BB7924"/>
    <w:rsid w:val="00BC65B0"/>
    <w:rsid w:val="00BD6783"/>
    <w:rsid w:val="00C23C08"/>
    <w:rsid w:val="00C71717"/>
    <w:rsid w:val="00D03AB7"/>
    <w:rsid w:val="00D06CEB"/>
    <w:rsid w:val="00D20859"/>
    <w:rsid w:val="00D72952"/>
    <w:rsid w:val="00DE61E0"/>
    <w:rsid w:val="00E114D1"/>
    <w:rsid w:val="00E63DF4"/>
    <w:rsid w:val="00E74104"/>
    <w:rsid w:val="00E979D8"/>
    <w:rsid w:val="00EA6264"/>
    <w:rsid w:val="00EF4C4A"/>
    <w:rsid w:val="00F47BAB"/>
    <w:rsid w:val="00F54055"/>
    <w:rsid w:val="00F5579C"/>
    <w:rsid w:val="00FB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6D9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825"/>
  </w:style>
  <w:style w:type="paragraph" w:styleId="Nagwek1">
    <w:name w:val="heading 1"/>
    <w:basedOn w:val="Normalny"/>
    <w:next w:val="Normalny"/>
    <w:link w:val="Nagwek1Znak"/>
    <w:qFormat/>
    <w:rsid w:val="00D03AB7"/>
    <w:pPr>
      <w:keepNext/>
      <w:numPr>
        <w:numId w:val="1"/>
      </w:numPr>
      <w:suppressAutoHyphens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color w:val="0000FF"/>
      <w:sz w:val="24"/>
      <w:szCs w:val="20"/>
      <w:lang w:val="pl-PL" w:eastAsia="ar-SA"/>
    </w:rPr>
  </w:style>
  <w:style w:type="paragraph" w:styleId="Nagwek2">
    <w:name w:val="heading 2"/>
    <w:basedOn w:val="Normalny"/>
    <w:next w:val="Normalny"/>
    <w:link w:val="Nagwek2Znak"/>
    <w:qFormat/>
    <w:rsid w:val="00D03AB7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pl-PL" w:eastAsia="ar-SA"/>
    </w:rPr>
  </w:style>
  <w:style w:type="paragraph" w:styleId="Nagwek3">
    <w:name w:val="heading 3"/>
    <w:basedOn w:val="Normalny"/>
    <w:next w:val="Normalny"/>
    <w:link w:val="Nagwek3Znak"/>
    <w:qFormat/>
    <w:rsid w:val="00D03AB7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  <w:lang w:val="pl-PL" w:eastAsia="ar-SA"/>
    </w:rPr>
  </w:style>
  <w:style w:type="paragraph" w:styleId="Nagwek4">
    <w:name w:val="heading 4"/>
    <w:basedOn w:val="Normalny"/>
    <w:next w:val="Normalny"/>
    <w:link w:val="Nagwek4Znak"/>
    <w:qFormat/>
    <w:rsid w:val="00D03AB7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Arial" w:eastAsia="Times New Roman" w:hAnsi="Arial" w:cs="Arial"/>
      <w:b/>
      <w:sz w:val="32"/>
      <w:szCs w:val="24"/>
      <w:lang w:val="pl-PL" w:eastAsia="ar-SA"/>
    </w:rPr>
  </w:style>
  <w:style w:type="paragraph" w:styleId="Nagwek5">
    <w:name w:val="heading 5"/>
    <w:basedOn w:val="Normalny"/>
    <w:next w:val="Normalny"/>
    <w:link w:val="Nagwek5Znak"/>
    <w:qFormat/>
    <w:rsid w:val="00D03AB7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paragraph" w:styleId="Nagwek6">
    <w:name w:val="heading 6"/>
    <w:basedOn w:val="Normalny"/>
    <w:next w:val="Normalny"/>
    <w:link w:val="Nagwek6Znak"/>
    <w:qFormat/>
    <w:rsid w:val="00D03AB7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Arial" w:eastAsia="Times New Roman" w:hAnsi="Arial" w:cs="Arial"/>
      <w:b/>
      <w:bCs/>
      <w:sz w:val="20"/>
      <w:szCs w:val="24"/>
      <w:lang w:val="pl-PL" w:eastAsia="ar-SA"/>
    </w:rPr>
  </w:style>
  <w:style w:type="paragraph" w:styleId="Nagwek8">
    <w:name w:val="heading 8"/>
    <w:basedOn w:val="Normalny"/>
    <w:next w:val="Normalny"/>
    <w:link w:val="Nagwek8Znak"/>
    <w:qFormat/>
    <w:rsid w:val="00D03AB7"/>
    <w:pPr>
      <w:keepNext/>
      <w:numPr>
        <w:ilvl w:val="7"/>
        <w:numId w:val="1"/>
      </w:numPr>
      <w:suppressAutoHyphens/>
      <w:spacing w:after="60" w:line="240" w:lineRule="auto"/>
      <w:jc w:val="center"/>
      <w:outlineLvl w:val="7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03AB7"/>
    <w:rPr>
      <w:rFonts w:ascii="Times New Roman" w:eastAsia="Times New Roman" w:hAnsi="Times New Roman" w:cs="Times New Roman"/>
      <w:color w:val="0000FF"/>
      <w:sz w:val="24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rsid w:val="00D03AB7"/>
    <w:rPr>
      <w:rFonts w:ascii="Times New Roman" w:eastAsia="Times New Roman" w:hAnsi="Times New Roman" w:cs="Times New Roman"/>
      <w:sz w:val="24"/>
      <w:szCs w:val="20"/>
      <w:lang w:val="pl-PL" w:eastAsia="ar-SA"/>
    </w:rPr>
  </w:style>
  <w:style w:type="character" w:customStyle="1" w:styleId="Nagwek3Znak">
    <w:name w:val="Nagłówek 3 Znak"/>
    <w:basedOn w:val="Domylnaczcionkaakapitu"/>
    <w:link w:val="Nagwek3"/>
    <w:rsid w:val="00D03AB7"/>
    <w:rPr>
      <w:rFonts w:ascii="Times New Roman" w:eastAsia="Times New Roman" w:hAnsi="Times New Roman" w:cs="Times New Roman"/>
      <w:b/>
      <w:bCs/>
      <w:szCs w:val="24"/>
      <w:lang w:val="pl-PL" w:eastAsia="ar-SA"/>
    </w:rPr>
  </w:style>
  <w:style w:type="character" w:customStyle="1" w:styleId="Nagwek4Znak">
    <w:name w:val="Nagłówek 4 Znak"/>
    <w:basedOn w:val="Domylnaczcionkaakapitu"/>
    <w:link w:val="Nagwek4"/>
    <w:rsid w:val="00D03AB7"/>
    <w:rPr>
      <w:rFonts w:ascii="Arial" w:eastAsia="Times New Roman" w:hAnsi="Arial" w:cs="Arial"/>
      <w:b/>
      <w:sz w:val="32"/>
      <w:szCs w:val="24"/>
      <w:lang w:val="pl-PL" w:eastAsia="ar-SA"/>
    </w:rPr>
  </w:style>
  <w:style w:type="character" w:customStyle="1" w:styleId="Nagwek5Znak">
    <w:name w:val="Nagłówek 5 Znak"/>
    <w:basedOn w:val="Domylnaczcionkaakapitu"/>
    <w:link w:val="Nagwek5"/>
    <w:rsid w:val="00D03AB7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customStyle="1" w:styleId="Nagwek6Znak">
    <w:name w:val="Nagłówek 6 Znak"/>
    <w:basedOn w:val="Domylnaczcionkaakapitu"/>
    <w:link w:val="Nagwek6"/>
    <w:rsid w:val="00D03AB7"/>
    <w:rPr>
      <w:rFonts w:ascii="Arial" w:eastAsia="Times New Roman" w:hAnsi="Arial" w:cs="Arial"/>
      <w:b/>
      <w:bCs/>
      <w:sz w:val="20"/>
      <w:szCs w:val="24"/>
      <w:lang w:val="pl-PL" w:eastAsia="ar-SA"/>
    </w:rPr>
  </w:style>
  <w:style w:type="character" w:customStyle="1" w:styleId="Nagwek8Znak">
    <w:name w:val="Nagłówek 8 Znak"/>
    <w:basedOn w:val="Domylnaczcionkaakapitu"/>
    <w:link w:val="Nagwek8"/>
    <w:rsid w:val="00D03AB7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D03AB7"/>
  </w:style>
  <w:style w:type="character" w:customStyle="1" w:styleId="Absatz-Standardschriftart">
    <w:name w:val="Absatz-Standardschriftart"/>
    <w:rsid w:val="00D03AB7"/>
  </w:style>
  <w:style w:type="character" w:customStyle="1" w:styleId="WW-Absatz-Standardschriftart">
    <w:name w:val="WW-Absatz-Standardschriftart"/>
    <w:rsid w:val="00D03AB7"/>
  </w:style>
  <w:style w:type="character" w:customStyle="1" w:styleId="WW8Num1z0">
    <w:name w:val="WW8Num1z0"/>
    <w:rsid w:val="00D03AB7"/>
    <w:rPr>
      <w:rFonts w:ascii="Symbol" w:hAnsi="Symbol"/>
    </w:rPr>
  </w:style>
  <w:style w:type="character" w:customStyle="1" w:styleId="WW8Num1z1">
    <w:name w:val="WW8Num1z1"/>
    <w:rsid w:val="00D03AB7"/>
    <w:rPr>
      <w:rFonts w:ascii="Courier New" w:hAnsi="Courier New" w:cs="Courier New"/>
    </w:rPr>
  </w:style>
  <w:style w:type="character" w:customStyle="1" w:styleId="WW8Num1z2">
    <w:name w:val="WW8Num1z2"/>
    <w:rsid w:val="00D03AB7"/>
    <w:rPr>
      <w:rFonts w:ascii="Wingdings" w:hAnsi="Wingdings"/>
    </w:rPr>
  </w:style>
  <w:style w:type="character" w:customStyle="1" w:styleId="WW8Num4z0">
    <w:name w:val="WW8Num4z0"/>
    <w:rsid w:val="00D03AB7"/>
    <w:rPr>
      <w:rFonts w:ascii="Times New Roman" w:eastAsia="Times New Roman" w:hAnsi="Times New Roman" w:cs="Times New Roman"/>
      <w:sz w:val="20"/>
    </w:rPr>
  </w:style>
  <w:style w:type="character" w:customStyle="1" w:styleId="WW8Num4z1">
    <w:name w:val="WW8Num4z1"/>
    <w:rsid w:val="00D03AB7"/>
    <w:rPr>
      <w:rFonts w:ascii="Courier New" w:hAnsi="Courier New"/>
    </w:rPr>
  </w:style>
  <w:style w:type="character" w:customStyle="1" w:styleId="WW8Num4z2">
    <w:name w:val="WW8Num4z2"/>
    <w:rsid w:val="00D03AB7"/>
    <w:rPr>
      <w:rFonts w:ascii="Wingdings" w:hAnsi="Wingdings"/>
    </w:rPr>
  </w:style>
  <w:style w:type="character" w:customStyle="1" w:styleId="WW8Num4z3">
    <w:name w:val="WW8Num4z3"/>
    <w:rsid w:val="00D03AB7"/>
    <w:rPr>
      <w:rFonts w:ascii="Symbol" w:hAnsi="Symbol"/>
    </w:rPr>
  </w:style>
  <w:style w:type="character" w:customStyle="1" w:styleId="WW8Num5z0">
    <w:name w:val="WW8Num5z0"/>
    <w:rsid w:val="00D03AB7"/>
    <w:rPr>
      <w:rFonts w:ascii="Symbol" w:hAnsi="Symbol"/>
      <w:color w:val="auto"/>
    </w:rPr>
  </w:style>
  <w:style w:type="character" w:customStyle="1" w:styleId="WW8Num5z1">
    <w:name w:val="WW8Num5z1"/>
    <w:rsid w:val="00D03AB7"/>
    <w:rPr>
      <w:rFonts w:ascii="Courier New" w:hAnsi="Courier New" w:cs="Courier New"/>
    </w:rPr>
  </w:style>
  <w:style w:type="character" w:customStyle="1" w:styleId="WW8Num5z2">
    <w:name w:val="WW8Num5z2"/>
    <w:rsid w:val="00D03AB7"/>
    <w:rPr>
      <w:rFonts w:ascii="Wingdings" w:hAnsi="Wingdings"/>
    </w:rPr>
  </w:style>
  <w:style w:type="character" w:customStyle="1" w:styleId="WW8Num5z3">
    <w:name w:val="WW8Num5z3"/>
    <w:rsid w:val="00D03AB7"/>
    <w:rPr>
      <w:rFonts w:ascii="Symbol" w:hAnsi="Symbol"/>
    </w:rPr>
  </w:style>
  <w:style w:type="character" w:customStyle="1" w:styleId="WW8Num8z0">
    <w:name w:val="WW8Num8z0"/>
    <w:rsid w:val="00D03AB7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D03AB7"/>
    <w:rPr>
      <w:rFonts w:ascii="Courier New" w:hAnsi="Courier New"/>
    </w:rPr>
  </w:style>
  <w:style w:type="character" w:customStyle="1" w:styleId="WW8Num8z2">
    <w:name w:val="WW8Num8z2"/>
    <w:rsid w:val="00D03AB7"/>
    <w:rPr>
      <w:rFonts w:ascii="Wingdings" w:hAnsi="Wingdings"/>
    </w:rPr>
  </w:style>
  <w:style w:type="character" w:customStyle="1" w:styleId="WW8Num8z3">
    <w:name w:val="WW8Num8z3"/>
    <w:rsid w:val="00D03AB7"/>
    <w:rPr>
      <w:rFonts w:ascii="Symbol" w:hAnsi="Symbol"/>
    </w:rPr>
  </w:style>
  <w:style w:type="character" w:customStyle="1" w:styleId="WW8Num10z0">
    <w:name w:val="WW8Num10z0"/>
    <w:rsid w:val="00D03AB7"/>
    <w:rPr>
      <w:rFonts w:ascii="Symbol" w:hAnsi="Symbol"/>
    </w:rPr>
  </w:style>
  <w:style w:type="character" w:customStyle="1" w:styleId="WW8Num10z1">
    <w:name w:val="WW8Num10z1"/>
    <w:rsid w:val="00D03AB7"/>
    <w:rPr>
      <w:rFonts w:ascii="Courier New" w:hAnsi="Courier New" w:cs="Courier New"/>
    </w:rPr>
  </w:style>
  <w:style w:type="character" w:customStyle="1" w:styleId="WW8Num10z2">
    <w:name w:val="WW8Num10z2"/>
    <w:rsid w:val="00D03AB7"/>
    <w:rPr>
      <w:rFonts w:ascii="Wingdings" w:hAnsi="Wingdings"/>
    </w:rPr>
  </w:style>
  <w:style w:type="character" w:customStyle="1" w:styleId="WW8Num11z0">
    <w:name w:val="WW8Num11z0"/>
    <w:rsid w:val="00D03AB7"/>
    <w:rPr>
      <w:rFonts w:ascii="Symbol" w:hAnsi="Symbol"/>
    </w:rPr>
  </w:style>
  <w:style w:type="character" w:customStyle="1" w:styleId="WW8Num11z1">
    <w:name w:val="WW8Num11z1"/>
    <w:rsid w:val="00D03AB7"/>
    <w:rPr>
      <w:rFonts w:ascii="Courier New" w:hAnsi="Courier New" w:cs="Courier New"/>
    </w:rPr>
  </w:style>
  <w:style w:type="character" w:customStyle="1" w:styleId="WW8Num11z2">
    <w:name w:val="WW8Num11z2"/>
    <w:rsid w:val="00D03AB7"/>
    <w:rPr>
      <w:rFonts w:ascii="Wingdings" w:hAnsi="Wingdings"/>
    </w:rPr>
  </w:style>
  <w:style w:type="character" w:customStyle="1" w:styleId="WW8Num12z0">
    <w:name w:val="WW8Num12z0"/>
    <w:rsid w:val="00D03AB7"/>
    <w:rPr>
      <w:rFonts w:ascii="Symbol" w:hAnsi="Symbol"/>
      <w:color w:val="auto"/>
    </w:rPr>
  </w:style>
  <w:style w:type="character" w:customStyle="1" w:styleId="WW8Num12z1">
    <w:name w:val="WW8Num12z1"/>
    <w:rsid w:val="00D03AB7"/>
    <w:rPr>
      <w:rFonts w:ascii="Courier New" w:hAnsi="Courier New" w:cs="Courier New"/>
    </w:rPr>
  </w:style>
  <w:style w:type="character" w:customStyle="1" w:styleId="WW8Num12z2">
    <w:name w:val="WW8Num12z2"/>
    <w:rsid w:val="00D03AB7"/>
    <w:rPr>
      <w:rFonts w:ascii="Wingdings" w:hAnsi="Wingdings"/>
    </w:rPr>
  </w:style>
  <w:style w:type="character" w:customStyle="1" w:styleId="WW8Num12z3">
    <w:name w:val="WW8Num12z3"/>
    <w:rsid w:val="00D03AB7"/>
    <w:rPr>
      <w:rFonts w:ascii="Symbol" w:hAnsi="Symbol"/>
    </w:rPr>
  </w:style>
  <w:style w:type="character" w:customStyle="1" w:styleId="WW8Num14z0">
    <w:name w:val="WW8Num14z0"/>
    <w:rsid w:val="00D03AB7"/>
    <w:rPr>
      <w:rFonts w:ascii="Symbol" w:hAnsi="Symbol"/>
      <w:color w:val="auto"/>
    </w:rPr>
  </w:style>
  <w:style w:type="character" w:customStyle="1" w:styleId="WW8Num14z1">
    <w:name w:val="WW8Num14z1"/>
    <w:rsid w:val="00D03AB7"/>
    <w:rPr>
      <w:rFonts w:ascii="Courier New" w:hAnsi="Courier New" w:cs="Courier New"/>
    </w:rPr>
  </w:style>
  <w:style w:type="character" w:customStyle="1" w:styleId="WW8Num14z2">
    <w:name w:val="WW8Num14z2"/>
    <w:rsid w:val="00D03AB7"/>
    <w:rPr>
      <w:rFonts w:ascii="Wingdings" w:hAnsi="Wingdings"/>
    </w:rPr>
  </w:style>
  <w:style w:type="character" w:customStyle="1" w:styleId="WW8Num14z3">
    <w:name w:val="WW8Num14z3"/>
    <w:rsid w:val="00D03AB7"/>
    <w:rPr>
      <w:rFonts w:ascii="Symbol" w:hAnsi="Symbol"/>
    </w:rPr>
  </w:style>
  <w:style w:type="character" w:customStyle="1" w:styleId="Domylnaczcionkaakapitu1">
    <w:name w:val="Domyślna czcionka akapitu1"/>
    <w:rsid w:val="00D03AB7"/>
  </w:style>
  <w:style w:type="character" w:styleId="Numerstrony">
    <w:name w:val="page number"/>
    <w:basedOn w:val="Domylnaczcionkaakapitu1"/>
    <w:rsid w:val="00D03AB7"/>
  </w:style>
  <w:style w:type="paragraph" w:customStyle="1" w:styleId="Nagwek10">
    <w:name w:val="Nagłówek1"/>
    <w:basedOn w:val="Normalny"/>
    <w:next w:val="Tekstpodstawowy"/>
    <w:rsid w:val="00D03AB7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val="pl-PL" w:eastAsia="ar-SA"/>
    </w:rPr>
  </w:style>
  <w:style w:type="paragraph" w:styleId="Tekstpodstawowy">
    <w:name w:val="Body Text"/>
    <w:basedOn w:val="Normalny"/>
    <w:link w:val="TekstpodstawowyZnak"/>
    <w:rsid w:val="00D03AB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3AB7"/>
    <w:rPr>
      <w:rFonts w:ascii="Times New Roman" w:eastAsia="Times New Roman" w:hAnsi="Times New Roman" w:cs="Times New Roman"/>
      <w:sz w:val="28"/>
      <w:szCs w:val="24"/>
      <w:lang w:val="pl-PL" w:eastAsia="ar-SA"/>
    </w:rPr>
  </w:style>
  <w:style w:type="paragraph" w:styleId="Lista">
    <w:name w:val="List"/>
    <w:basedOn w:val="Tekstpodstawowy"/>
    <w:rsid w:val="00D03AB7"/>
    <w:rPr>
      <w:rFonts w:cs="Mangal"/>
    </w:rPr>
  </w:style>
  <w:style w:type="paragraph" w:customStyle="1" w:styleId="Podpis1">
    <w:name w:val="Podpis1"/>
    <w:basedOn w:val="Normalny"/>
    <w:rsid w:val="00D03AB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pl-PL" w:eastAsia="ar-SA"/>
    </w:rPr>
  </w:style>
  <w:style w:type="paragraph" w:customStyle="1" w:styleId="Indeks">
    <w:name w:val="Indeks"/>
    <w:basedOn w:val="Normalny"/>
    <w:rsid w:val="00D03AB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val="pl-PL" w:eastAsia="ar-SA"/>
    </w:rPr>
  </w:style>
  <w:style w:type="paragraph" w:styleId="Stopka">
    <w:name w:val="footer"/>
    <w:basedOn w:val="Normalny"/>
    <w:link w:val="StopkaZnak"/>
    <w:rsid w:val="00D03AB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customStyle="1" w:styleId="StopkaZnak">
    <w:name w:val="Stopka Znak"/>
    <w:basedOn w:val="Domylnaczcionkaakapitu"/>
    <w:link w:val="Stopka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customStyle="1" w:styleId="Tekstpodstawowy21">
    <w:name w:val="Tekst podstawowy 21"/>
    <w:basedOn w:val="Normalny"/>
    <w:rsid w:val="00D03AB7"/>
    <w:pPr>
      <w:tabs>
        <w:tab w:val="left" w:pos="399"/>
      </w:tabs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pl-PL" w:eastAsia="ar-SA"/>
    </w:rPr>
  </w:style>
  <w:style w:type="paragraph" w:styleId="Nagwek">
    <w:name w:val="header"/>
    <w:basedOn w:val="Normalny"/>
    <w:link w:val="NagwekZnak"/>
    <w:rsid w:val="00D03AB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pl-PL" w:eastAsia="ar-SA"/>
    </w:rPr>
  </w:style>
  <w:style w:type="character" w:customStyle="1" w:styleId="NagwekZnak">
    <w:name w:val="Nagłówek Znak"/>
    <w:basedOn w:val="Domylnaczcionkaakapitu"/>
    <w:link w:val="Nagwek"/>
    <w:rsid w:val="00D03AB7"/>
    <w:rPr>
      <w:rFonts w:ascii="Arial" w:eastAsia="Times New Roman" w:hAnsi="Arial" w:cs="Times New Roman"/>
      <w:color w:val="000000"/>
      <w:sz w:val="24"/>
      <w:szCs w:val="20"/>
      <w:lang w:val="pl-PL" w:eastAsia="ar-SA"/>
    </w:rPr>
  </w:style>
  <w:style w:type="paragraph" w:customStyle="1" w:styleId="StylStylNagwek2Arial10ptNiePogrubienieDolewejArial">
    <w:name w:val="Styl Styl Nagłówek 2 + Arial 10 pt Nie Pogrubienie Do lewej + Arial"/>
    <w:basedOn w:val="Normalny"/>
    <w:rsid w:val="00D03AB7"/>
    <w:pPr>
      <w:keepNext/>
      <w:suppressAutoHyphens/>
      <w:spacing w:after="0" w:line="240" w:lineRule="auto"/>
    </w:pPr>
    <w:rPr>
      <w:rFonts w:ascii="Arial" w:eastAsia="Times New Roman" w:hAnsi="Arial" w:cs="Times New Roman"/>
      <w:szCs w:val="20"/>
      <w:lang w:val="pl-PL" w:eastAsia="ar-SA"/>
    </w:rPr>
  </w:style>
  <w:style w:type="paragraph" w:customStyle="1" w:styleId="Tekstpodstawowy31">
    <w:name w:val="Tekst podstawowy 31"/>
    <w:basedOn w:val="Normalny"/>
    <w:rsid w:val="00D03AB7"/>
    <w:pPr>
      <w:tabs>
        <w:tab w:val="left" w:pos="72"/>
        <w:tab w:val="left" w:pos="612"/>
      </w:tabs>
      <w:suppressAutoHyphens/>
      <w:spacing w:after="0" w:line="240" w:lineRule="auto"/>
    </w:pPr>
    <w:rPr>
      <w:rFonts w:ascii="Arial" w:eastAsia="Times New Roman" w:hAnsi="Arial" w:cs="Arial"/>
      <w:sz w:val="20"/>
      <w:szCs w:val="24"/>
      <w:lang w:val="pl-PL" w:eastAsia="ar-SA"/>
    </w:rPr>
  </w:style>
  <w:style w:type="paragraph" w:styleId="Tekstpodstawowywcity">
    <w:name w:val="Body Text Indent"/>
    <w:basedOn w:val="Normalny"/>
    <w:link w:val="TekstpodstawowywcityZnak"/>
    <w:rsid w:val="00D03AB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styleId="Tytu">
    <w:name w:val="Title"/>
    <w:basedOn w:val="Normalny"/>
    <w:next w:val="Podtytu"/>
    <w:link w:val="TytuZnak"/>
    <w:qFormat/>
    <w:rsid w:val="00D03AB7"/>
    <w:pPr>
      <w:suppressAutoHyphens/>
      <w:spacing w:after="0" w:line="240" w:lineRule="auto"/>
      <w:jc w:val="center"/>
    </w:pPr>
    <w:rPr>
      <w:rFonts w:ascii="Bookman Old Style" w:eastAsia="Times New Roman" w:hAnsi="Bookman Old Style" w:cs="Times New Roman"/>
      <w:sz w:val="2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rsid w:val="00D03AB7"/>
    <w:rPr>
      <w:rFonts w:ascii="Bookman Old Style" w:eastAsia="Times New Roman" w:hAnsi="Bookman Old Style" w:cs="Times New Roman"/>
      <w:sz w:val="28"/>
      <w:szCs w:val="20"/>
      <w:lang w:val="pl-PL" w:eastAsia="ar-SA"/>
    </w:rPr>
  </w:style>
  <w:style w:type="paragraph" w:styleId="Podtytu">
    <w:name w:val="Subtitle"/>
    <w:basedOn w:val="Nagwek10"/>
    <w:next w:val="Tekstpodstawowy"/>
    <w:link w:val="PodtytuZnak"/>
    <w:qFormat/>
    <w:rsid w:val="00D03AB7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D03AB7"/>
    <w:rPr>
      <w:rFonts w:ascii="Arial" w:eastAsia="Lucida Sans Unicode" w:hAnsi="Arial" w:cs="Mangal"/>
      <w:i/>
      <w:iCs/>
      <w:sz w:val="28"/>
      <w:szCs w:val="28"/>
      <w:lang w:val="pl-PL" w:eastAsia="ar-SA"/>
    </w:rPr>
  </w:style>
  <w:style w:type="paragraph" w:customStyle="1" w:styleId="Tekstpodstawowywcity21">
    <w:name w:val="Tekst podstawowy wcięty 21"/>
    <w:basedOn w:val="Normalny"/>
    <w:rsid w:val="00D03AB7"/>
    <w:pPr>
      <w:suppressAutoHyphens/>
      <w:spacing w:after="0" w:line="240" w:lineRule="auto"/>
      <w:ind w:left="252" w:hanging="252"/>
      <w:jc w:val="both"/>
    </w:pPr>
    <w:rPr>
      <w:rFonts w:ascii="Arial" w:eastAsia="Times New Roman" w:hAnsi="Arial" w:cs="Arial"/>
      <w:sz w:val="20"/>
      <w:szCs w:val="24"/>
      <w:lang w:val="pl-PL" w:eastAsia="ar-SA"/>
    </w:rPr>
  </w:style>
  <w:style w:type="paragraph" w:customStyle="1" w:styleId="Zawartotabeli">
    <w:name w:val="Zawartość tabeli"/>
    <w:basedOn w:val="Normalny"/>
    <w:rsid w:val="00D03AB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customStyle="1" w:styleId="Nagwektabeli">
    <w:name w:val="Nagłówek tabeli"/>
    <w:basedOn w:val="Zawartotabeli"/>
    <w:rsid w:val="00D03AB7"/>
    <w:pPr>
      <w:jc w:val="center"/>
    </w:pPr>
    <w:rPr>
      <w:b/>
      <w:bCs/>
    </w:rPr>
  </w:style>
  <w:style w:type="paragraph" w:customStyle="1" w:styleId="ArialNarow">
    <w:name w:val="Arial Narow"/>
    <w:basedOn w:val="Normalny"/>
    <w:link w:val="ArialNarowZnak"/>
    <w:qFormat/>
    <w:rsid w:val="00D03AB7"/>
    <w:pPr>
      <w:spacing w:after="0" w:line="240" w:lineRule="auto"/>
    </w:pPr>
    <w:rPr>
      <w:rFonts w:ascii="Arial Narrow" w:eastAsia="Times New Roman" w:hAnsi="Arial Narrow" w:cs="Times New Roman"/>
      <w:bCs/>
      <w:sz w:val="20"/>
      <w:szCs w:val="24"/>
      <w:lang w:val="pl-PL" w:eastAsia="pl-PL"/>
    </w:rPr>
  </w:style>
  <w:style w:type="character" w:customStyle="1" w:styleId="ArialNarowZnak">
    <w:name w:val="Arial Narow Znak"/>
    <w:link w:val="ArialNarow"/>
    <w:rsid w:val="00D03AB7"/>
    <w:rPr>
      <w:rFonts w:ascii="Arial Narrow" w:eastAsia="Times New Roman" w:hAnsi="Arial Narrow" w:cs="Times New Roman"/>
      <w:bCs/>
      <w:sz w:val="20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D03A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3AB7"/>
    <w:rPr>
      <w:rFonts w:ascii="Times New Roman" w:eastAsia="Times New Roman" w:hAnsi="Times New Roman" w:cs="Times New Roman"/>
      <w:sz w:val="20"/>
      <w:szCs w:val="20"/>
      <w:lang w:val="pl-PL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3A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3AB7"/>
    <w:rPr>
      <w:rFonts w:ascii="Times New Roman" w:eastAsia="Times New Roman" w:hAnsi="Times New Roman" w:cs="Times New Roman"/>
      <w:b/>
      <w:bCs/>
      <w:sz w:val="20"/>
      <w:szCs w:val="20"/>
      <w:lang w:val="pl-PL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AB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pl-PL"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AB7"/>
    <w:rPr>
      <w:rFonts w:ascii="Tahoma" w:eastAsia="Times New Roman" w:hAnsi="Tahoma" w:cs="Tahoma"/>
      <w:sz w:val="16"/>
      <w:szCs w:val="16"/>
      <w:lang w:val="pl-PL" w:eastAsia="ar-SA"/>
    </w:rPr>
  </w:style>
  <w:style w:type="paragraph" w:customStyle="1" w:styleId="ParaAttribute3">
    <w:name w:val="ParaAttribute3"/>
    <w:rsid w:val="00D03AB7"/>
    <w:pPr>
      <w:tabs>
        <w:tab w:val="left" w:pos="4720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4">
    <w:name w:val="ParaAttribute4"/>
    <w:rsid w:val="00D03AB7"/>
    <w:pPr>
      <w:tabs>
        <w:tab w:val="left" w:pos="4720"/>
      </w:tabs>
      <w:spacing w:after="0" w:line="240" w:lineRule="auto"/>
      <w:ind w:left="-1575" w:firstLine="1575"/>
      <w:jc w:val="center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character" w:customStyle="1" w:styleId="CharAttribute4">
    <w:name w:val="CharAttribute4"/>
    <w:rsid w:val="00D03AB7"/>
    <w:rPr>
      <w:rFonts w:ascii="Calibri" w:eastAsia="Times New Roman"/>
    </w:rPr>
  </w:style>
  <w:style w:type="character" w:customStyle="1" w:styleId="CharAttribute2">
    <w:name w:val="CharAttribute2"/>
    <w:rsid w:val="00D03AB7"/>
    <w:rPr>
      <w:rFonts w:ascii="Calibri" w:eastAsia="Arial Unicode MS"/>
    </w:rPr>
  </w:style>
  <w:style w:type="paragraph" w:customStyle="1" w:styleId="ParaAttribute5">
    <w:name w:val="ParaAttribute5"/>
    <w:rsid w:val="00D03AB7"/>
    <w:pPr>
      <w:tabs>
        <w:tab w:val="left" w:pos="4495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6">
    <w:name w:val="ParaAttribute6"/>
    <w:rsid w:val="00D03AB7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7">
    <w:name w:val="ParaAttribute7"/>
    <w:rsid w:val="00D03AB7"/>
    <w:pPr>
      <w:spacing w:after="0" w:line="240" w:lineRule="auto"/>
      <w:ind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8">
    <w:name w:val="ParaAttribute8"/>
    <w:rsid w:val="00D03AB7"/>
    <w:pPr>
      <w:tabs>
        <w:tab w:val="left" w:pos="4450"/>
      </w:tabs>
      <w:spacing w:after="0" w:line="240" w:lineRule="auto"/>
      <w:ind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character" w:customStyle="1" w:styleId="CharAttribute1">
    <w:name w:val="CharAttribute1"/>
    <w:rsid w:val="00D03AB7"/>
    <w:rPr>
      <w:rFonts w:ascii="Calibri" w:eastAsia="Times New Roman"/>
      <w:b/>
    </w:rPr>
  </w:style>
  <w:style w:type="paragraph" w:customStyle="1" w:styleId="ParaAttribute9">
    <w:name w:val="ParaAttribute9"/>
    <w:rsid w:val="00D03AB7"/>
    <w:pPr>
      <w:tabs>
        <w:tab w:val="left" w:pos="4450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0">
    <w:name w:val="ParaAttribute10"/>
    <w:rsid w:val="00D03AB7"/>
    <w:pPr>
      <w:tabs>
        <w:tab w:val="left" w:pos="4465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1">
    <w:name w:val="ParaAttribute11"/>
    <w:rsid w:val="00D03AB7"/>
    <w:pPr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2">
    <w:name w:val="ParaAttribute12"/>
    <w:rsid w:val="00D03AB7"/>
    <w:pPr>
      <w:tabs>
        <w:tab w:val="left" w:pos="4501"/>
      </w:tabs>
      <w:spacing w:after="0" w:line="240" w:lineRule="auto"/>
      <w:ind w:left="-15" w:right="3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D03AB7"/>
    <w:pPr>
      <w:widowControl w:val="0"/>
      <w:wordWrap w:val="0"/>
      <w:autoSpaceDE w:val="0"/>
      <w:autoSpaceDN w:val="0"/>
      <w:spacing w:after="0" w:line="240" w:lineRule="auto"/>
      <w:ind w:left="400"/>
      <w:jc w:val="both"/>
    </w:pPr>
    <w:rPr>
      <w:rFonts w:ascii="Batang" w:eastAsia="Batang" w:hAnsi="Times New Roman" w:cs="Times New Roman"/>
      <w:kern w:val="2"/>
      <w:sz w:val="20"/>
      <w:szCs w:val="20"/>
      <w:lang w:eastAsia="ko-KR"/>
    </w:rPr>
  </w:style>
  <w:style w:type="paragraph" w:customStyle="1" w:styleId="ParaAttribute14">
    <w:name w:val="ParaAttribute14"/>
    <w:rsid w:val="00D03AB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3AB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styleId="Bezodstpw">
    <w:name w:val="No Spacing"/>
    <w:qFormat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styleId="Odwoanieprzypisudolnego">
    <w:name w:val="footnote reference"/>
    <w:uiPriority w:val="99"/>
    <w:semiHidden/>
    <w:unhideWhenUsed/>
    <w:rsid w:val="00D03AB7"/>
    <w:rPr>
      <w:vertAlign w:val="superscript"/>
    </w:rPr>
  </w:style>
  <w:style w:type="paragraph" w:customStyle="1" w:styleId="Przypisdolny">
    <w:name w:val="Przypis dolny"/>
    <w:basedOn w:val="Normalny"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val="pl-PL" w:eastAsia="pl-PL"/>
    </w:rPr>
  </w:style>
  <w:style w:type="paragraph" w:customStyle="1" w:styleId="default">
    <w:name w:val="default"/>
    <w:basedOn w:val="Normalny"/>
    <w:rsid w:val="00D03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ableContents">
    <w:name w:val="Table Contents"/>
    <w:basedOn w:val="Normalny"/>
    <w:rsid w:val="00D03AB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tandard">
    <w:name w:val="Standard"/>
    <w:rsid w:val="00D03A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omylny">
    <w:name w:val="Domyślny"/>
    <w:rsid w:val="00D03AB7"/>
    <w:pPr>
      <w:suppressAutoHyphens/>
      <w:spacing w:after="200" w:line="276" w:lineRule="auto"/>
    </w:pPr>
    <w:rPr>
      <w:rFonts w:ascii="Times New Roman" w:eastAsia="SimSun" w:hAnsi="Times New Roman" w:cs="Times New Roman"/>
      <w:color w:val="00000A"/>
      <w:sz w:val="24"/>
      <w:szCs w:val="24"/>
      <w:lang w:val="pl-PL" w:eastAsia="pl-PL"/>
    </w:rPr>
  </w:style>
  <w:style w:type="paragraph" w:customStyle="1" w:styleId="Textbody">
    <w:name w:val="Text body"/>
    <w:basedOn w:val="Standard"/>
    <w:rsid w:val="00D03AB7"/>
    <w:pPr>
      <w:spacing w:after="120"/>
    </w:pPr>
  </w:style>
  <w:style w:type="paragraph" w:customStyle="1" w:styleId="Default0">
    <w:name w:val="Default"/>
    <w:rsid w:val="00D03AB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655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1477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2023-09-07T06:03:00Z</dcterms:created>
  <dcterms:modified xsi:type="dcterms:W3CDTF">2023-09-22T08:49:00Z</dcterms:modified>
</cp:coreProperties>
</file>