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6655A" w14:textId="2E70E2C8" w:rsidR="00622645" w:rsidRPr="00622645" w:rsidRDefault="00622645" w:rsidP="00622645">
      <w:pPr>
        <w:jc w:val="right"/>
        <w:rPr>
          <w:sz w:val="20"/>
          <w:szCs w:val="20"/>
          <w:lang w:val="pl-PL"/>
        </w:rPr>
      </w:pPr>
      <w:r w:rsidRPr="00622645">
        <w:rPr>
          <w:sz w:val="20"/>
          <w:szCs w:val="20"/>
          <w:lang w:val="pl-PL"/>
        </w:rPr>
        <w:t xml:space="preserve">załącznik nr 2 do SWZ / załącznik </w:t>
      </w:r>
      <w:r w:rsidRPr="002E7456">
        <w:rPr>
          <w:sz w:val="20"/>
          <w:szCs w:val="20"/>
          <w:u w:val="single"/>
          <w:lang w:val="pl-PL"/>
        </w:rPr>
        <w:t xml:space="preserve">nr </w:t>
      </w:r>
      <w:r w:rsidR="002E7456" w:rsidRPr="002E7456">
        <w:rPr>
          <w:sz w:val="20"/>
          <w:szCs w:val="20"/>
          <w:u w:val="single"/>
          <w:lang w:val="pl-PL"/>
        </w:rPr>
        <w:t>1</w:t>
      </w:r>
      <w:r w:rsidRPr="002E7456">
        <w:rPr>
          <w:sz w:val="20"/>
          <w:szCs w:val="20"/>
          <w:u w:val="single"/>
          <w:lang w:val="pl-PL"/>
        </w:rPr>
        <w:t xml:space="preserve"> do umowy</w:t>
      </w:r>
    </w:p>
    <w:p w14:paraId="4142ED00" w14:textId="77777777" w:rsidR="00622645" w:rsidRDefault="00622645" w:rsidP="00622645">
      <w:pPr>
        <w:spacing w:after="0" w:line="276" w:lineRule="auto"/>
        <w:ind w:left="709"/>
        <w:jc w:val="right"/>
        <w:rPr>
          <w:rFonts w:eastAsia="Times New Roman" w:cstheme="minorHAnsi"/>
          <w:b/>
          <w:sz w:val="20"/>
          <w:szCs w:val="20"/>
          <w:lang w:val="pl-PL" w:eastAsia="pl-PL"/>
        </w:rPr>
      </w:pPr>
    </w:p>
    <w:p w14:paraId="31153586" w14:textId="6D89244F" w:rsidR="007A4065" w:rsidRDefault="002404F2" w:rsidP="002404F2">
      <w:pPr>
        <w:spacing w:after="0" w:line="276" w:lineRule="auto"/>
        <w:ind w:left="709"/>
        <w:jc w:val="center"/>
        <w:rPr>
          <w:rFonts w:eastAsia="Times New Roman" w:cstheme="minorHAnsi"/>
          <w:b/>
          <w:sz w:val="20"/>
          <w:szCs w:val="20"/>
          <w:lang w:val="pl-PL" w:eastAsia="pl-PL"/>
        </w:rPr>
      </w:pPr>
      <w:r>
        <w:rPr>
          <w:rFonts w:eastAsia="Times New Roman" w:cstheme="minorHAnsi"/>
          <w:b/>
          <w:sz w:val="20"/>
          <w:szCs w:val="20"/>
          <w:lang w:val="pl-PL" w:eastAsia="pl-PL"/>
        </w:rPr>
        <w:t>OPIS PRZEDMIOTU ZAMÓWIENIA</w:t>
      </w:r>
    </w:p>
    <w:p w14:paraId="56CAED78" w14:textId="77777777" w:rsidR="002404F2" w:rsidRDefault="002404F2" w:rsidP="002404F2">
      <w:pPr>
        <w:spacing w:after="0" w:line="276" w:lineRule="auto"/>
        <w:rPr>
          <w:rFonts w:eastAsia="Times New Roman" w:cstheme="minorHAnsi"/>
          <w:b/>
          <w:sz w:val="20"/>
          <w:szCs w:val="20"/>
          <w:lang w:val="pl-PL" w:eastAsia="pl-PL"/>
        </w:rPr>
      </w:pPr>
    </w:p>
    <w:p w14:paraId="4204F387" w14:textId="77777777" w:rsidR="002404F2" w:rsidRDefault="002404F2" w:rsidP="002404F2">
      <w:pPr>
        <w:spacing w:after="0" w:line="276" w:lineRule="auto"/>
        <w:rPr>
          <w:rFonts w:eastAsia="Times New Roman" w:cstheme="minorHAnsi"/>
          <w:b/>
          <w:sz w:val="20"/>
          <w:szCs w:val="20"/>
          <w:lang w:val="pl-PL" w:eastAsia="pl-PL"/>
        </w:rPr>
      </w:pPr>
    </w:p>
    <w:p w14:paraId="52FF6133" w14:textId="16E9B0BC" w:rsidR="002404F2" w:rsidRDefault="002404F2" w:rsidP="002404F2">
      <w:pPr>
        <w:spacing w:after="0" w:line="276" w:lineRule="auto"/>
        <w:rPr>
          <w:rFonts w:eastAsia="Times New Roman" w:cstheme="minorHAnsi"/>
          <w:b/>
          <w:sz w:val="20"/>
          <w:szCs w:val="20"/>
          <w:lang w:val="pl-PL" w:eastAsia="pl-PL"/>
        </w:rPr>
      </w:pPr>
      <w:r>
        <w:rPr>
          <w:rFonts w:eastAsia="Times New Roman" w:cstheme="minorHAnsi"/>
          <w:b/>
          <w:sz w:val="20"/>
          <w:szCs w:val="20"/>
          <w:lang w:val="pl-PL" w:eastAsia="pl-PL"/>
        </w:rPr>
        <w:t>DOTYCZY:</w:t>
      </w:r>
      <w:r w:rsidRPr="002404F2">
        <w:rPr>
          <w:rFonts w:ascii="Garamond" w:eastAsia="Times New Roman" w:hAnsi="Garamond" w:cs="Times New Roman"/>
          <w:b/>
          <w:bCs/>
          <w:lang w:val="pl-PL" w:eastAsia="pl-PL"/>
        </w:rPr>
        <w:t xml:space="preserve"> </w:t>
      </w:r>
      <w:r w:rsidRPr="002404F2">
        <w:rPr>
          <w:rFonts w:eastAsia="Times New Roman" w:cstheme="minorHAnsi"/>
          <w:b/>
          <w:bCs/>
          <w:sz w:val="20"/>
          <w:szCs w:val="20"/>
          <w:lang w:val="pl-PL" w:eastAsia="pl-PL"/>
        </w:rPr>
        <w:t xml:space="preserve">ZAKUP </w:t>
      </w:r>
      <w:r w:rsidRPr="002404F2">
        <w:rPr>
          <w:rFonts w:eastAsia="Times New Roman" w:cstheme="minorHAnsi"/>
          <w:b/>
          <w:sz w:val="20"/>
          <w:szCs w:val="20"/>
          <w:lang w:val="pl-PL" w:eastAsia="pl-PL"/>
        </w:rPr>
        <w:t>SPRZĘTU Z DZIEDZINY INTENSYWNEJ TERAPII STOSOWANEGO W OPIECE NAD PACJENTAMI KARDIOLOGICZNYMI W 2023 r</w:t>
      </w:r>
    </w:p>
    <w:p w14:paraId="45402328" w14:textId="77777777" w:rsidR="002404F2" w:rsidRDefault="002404F2" w:rsidP="002404F2">
      <w:pPr>
        <w:spacing w:after="0" w:line="276" w:lineRule="auto"/>
        <w:rPr>
          <w:rFonts w:eastAsia="Times New Roman" w:cstheme="minorHAnsi"/>
          <w:b/>
          <w:sz w:val="20"/>
          <w:szCs w:val="20"/>
          <w:lang w:val="pl-PL" w:eastAsia="pl-PL"/>
        </w:rPr>
      </w:pPr>
    </w:p>
    <w:p w14:paraId="48919A89" w14:textId="652474BB" w:rsidR="002404F2" w:rsidRPr="007A4065" w:rsidRDefault="00622645" w:rsidP="002404F2">
      <w:pPr>
        <w:spacing w:after="0" w:line="276" w:lineRule="auto"/>
        <w:rPr>
          <w:rFonts w:eastAsia="Times New Roman" w:cstheme="minorHAnsi"/>
          <w:b/>
          <w:sz w:val="20"/>
          <w:szCs w:val="20"/>
          <w:lang w:val="pl-PL" w:eastAsia="pl-PL"/>
        </w:rPr>
      </w:pPr>
      <w:r>
        <w:rPr>
          <w:rFonts w:eastAsia="Times New Roman" w:cstheme="minorHAnsi"/>
          <w:b/>
          <w:sz w:val="20"/>
          <w:szCs w:val="20"/>
          <w:lang w:val="pl-PL" w:eastAsia="pl-PL"/>
        </w:rPr>
        <w:t>ZADANIE</w:t>
      </w:r>
      <w:r w:rsidR="002404F2">
        <w:rPr>
          <w:rFonts w:eastAsia="Times New Roman" w:cstheme="minorHAnsi"/>
          <w:b/>
          <w:sz w:val="20"/>
          <w:szCs w:val="20"/>
          <w:lang w:val="pl-PL" w:eastAsia="pl-PL"/>
        </w:rPr>
        <w:t xml:space="preserve"> NR 1 </w:t>
      </w:r>
      <w:r w:rsidR="000C7467">
        <w:rPr>
          <w:rFonts w:eastAsia="Times New Roman" w:cstheme="minorHAnsi"/>
          <w:b/>
          <w:sz w:val="20"/>
          <w:szCs w:val="20"/>
          <w:lang w:val="pl-PL" w:eastAsia="pl-PL"/>
        </w:rPr>
        <w:t>– APARAT DO ZNIECZULENIA Z WYPOSAŻENIEM</w:t>
      </w:r>
      <w:r w:rsidR="00357E1C">
        <w:rPr>
          <w:rFonts w:eastAsia="Times New Roman" w:cstheme="minorHAnsi"/>
          <w:b/>
          <w:sz w:val="20"/>
          <w:szCs w:val="20"/>
          <w:lang w:val="pl-PL" w:eastAsia="pl-PL"/>
        </w:rPr>
        <w:t xml:space="preserve"> – 2 szt.</w:t>
      </w:r>
    </w:p>
    <w:tbl>
      <w:tblPr>
        <w:tblW w:w="1162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5598"/>
        <w:gridCol w:w="1418"/>
        <w:gridCol w:w="3616"/>
      </w:tblGrid>
      <w:tr w:rsidR="00DD4013" w:rsidRPr="002D7939" w14:paraId="3F8C19AF" w14:textId="77777777" w:rsidTr="003E4CB8">
        <w:trPr>
          <w:trHeight w:val="4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3118D" w14:textId="7062C560" w:rsidR="00DD4013" w:rsidRPr="007A4065" w:rsidRDefault="00DD4013" w:rsidP="00DD40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506B9" w14:textId="27B58065" w:rsidR="00DD4013" w:rsidRPr="007A4065" w:rsidRDefault="00DD4013" w:rsidP="00DD40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/>
              </w:rPr>
              <w:t>Parametry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F9908" w14:textId="468A780A" w:rsidR="00DD4013" w:rsidRPr="007A4065" w:rsidRDefault="00DD4013" w:rsidP="00DD40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/>
              </w:rPr>
              <w:t>Parametry wymagane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EC016" w14:textId="1F5DD4E7" w:rsidR="00DD4013" w:rsidRPr="007A4065" w:rsidRDefault="00DD4013" w:rsidP="00DD401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/>
              </w:rPr>
              <w:t xml:space="preserve">Parametr oferowany </w:t>
            </w:r>
            <w:r w:rsidR="00622645">
              <w:rPr>
                <w:rFonts w:ascii="Times New Roman" w:hAnsi="Times New Roman" w:cs="Times New Roman"/>
                <w:b/>
              </w:rPr>
              <w:br/>
            </w:r>
            <w:r w:rsidRPr="002D7939">
              <w:rPr>
                <w:rFonts w:ascii="Times New Roman" w:hAnsi="Times New Roman" w:cs="Times New Roman"/>
                <w:b/>
              </w:rPr>
              <w:t>(szczegółowo opisać)</w:t>
            </w:r>
          </w:p>
        </w:tc>
      </w:tr>
      <w:tr w:rsidR="003C201B" w:rsidRPr="002D7939" w14:paraId="5208AD9A" w14:textId="77777777" w:rsidTr="003E4CB8">
        <w:trPr>
          <w:trHeight w:val="187"/>
        </w:trPr>
        <w:tc>
          <w:tcPr>
            <w:tcW w:w="993" w:type="dxa"/>
            <w:shd w:val="clear" w:color="auto" w:fill="FFFFFF" w:themeFill="background1"/>
            <w:vAlign w:val="center"/>
          </w:tcPr>
          <w:p w14:paraId="7CC214A1" w14:textId="0D489E6D" w:rsidR="00DD4013" w:rsidRPr="002D7939" w:rsidRDefault="003E3416" w:rsidP="003E3416">
            <w:pPr>
              <w:spacing w:line="276" w:lineRule="auto"/>
              <w:ind w:right="355"/>
              <w:jc w:val="center"/>
              <w:rPr>
                <w:rFonts w:ascii="Times New Roman" w:hAnsi="Times New Roman" w:cs="Times New Roman"/>
              </w:rPr>
            </w:pPr>
            <w:r w:rsidRPr="002D7939">
              <w:rPr>
                <w:rFonts w:ascii="Times New Roman" w:hAnsi="Times New Roman" w:cs="Times New Roman"/>
              </w:rPr>
              <w:t xml:space="preserve">     I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E5E52" w14:textId="67A90DCC" w:rsidR="00DD4013" w:rsidRPr="00622645" w:rsidRDefault="00CA4F91" w:rsidP="00DD4013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</w:pPr>
            <w:r w:rsidRPr="00622645">
              <w:rPr>
                <w:rFonts w:ascii="Times New Roman" w:hAnsi="Times New Roman" w:cs="Times New Roman"/>
                <w:b/>
                <w:u w:val="single"/>
              </w:rPr>
              <w:t>APARAT DO ZNIECZULEŃ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79ACE4A" w14:textId="77777777" w:rsidR="00DD4013" w:rsidRPr="00DD4013" w:rsidRDefault="00DD4013" w:rsidP="00DD401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pl-PL" w:eastAsia="ar-SA"/>
              </w:rPr>
            </w:pPr>
            <w:r w:rsidRPr="00DD4013">
              <w:rPr>
                <w:rFonts w:ascii="Times New Roman" w:eastAsia="Times New Roman" w:hAnsi="Times New Roman" w:cs="Times New Roman"/>
                <w:b/>
                <w:lang w:val="pl-PL" w:eastAsia="ar-SA"/>
              </w:rPr>
              <w:t>Podać</w:t>
            </w:r>
          </w:p>
          <w:p w14:paraId="2295571E" w14:textId="28E89C50" w:rsidR="00DD4013" w:rsidRPr="007A4065" w:rsidRDefault="00DD4013" w:rsidP="00DD40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pl-PL" w:eastAsia="pl-PL"/>
              </w:rPr>
            </w:pPr>
            <w:r w:rsidRPr="002D7939">
              <w:rPr>
                <w:rFonts w:ascii="Times New Roman" w:eastAsia="Times New Roman" w:hAnsi="Times New Roman" w:cs="Times New Roman"/>
                <w:b/>
                <w:lang w:val="pl-PL" w:eastAsia="ar-SA"/>
              </w:rPr>
              <w:t>Model/typ</w:t>
            </w:r>
          </w:p>
        </w:tc>
        <w:tc>
          <w:tcPr>
            <w:tcW w:w="3616" w:type="dxa"/>
            <w:shd w:val="clear" w:color="auto" w:fill="FFFFFF" w:themeFill="background1"/>
          </w:tcPr>
          <w:p w14:paraId="563BDFE1" w14:textId="04612C3E" w:rsidR="00DD4013" w:rsidRPr="007A4065" w:rsidRDefault="00DD4013" w:rsidP="00DD4013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70294" w:rsidRPr="002D7939" w14:paraId="21032BBD" w14:textId="77777777" w:rsidTr="003E4CB8">
        <w:trPr>
          <w:trHeight w:val="20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2B30ADE" w14:textId="77777777" w:rsidR="00DA0A72" w:rsidRPr="002D7939" w:rsidRDefault="00DA0A72">
            <w:pPr>
              <w:pStyle w:val="Akapitzlist"/>
              <w:numPr>
                <w:ilvl w:val="0"/>
                <w:numId w:val="2"/>
              </w:numPr>
              <w:spacing w:line="276" w:lineRule="auto"/>
              <w:ind w:right="355"/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4C882" w14:textId="0349B630" w:rsidR="00DA0A72" w:rsidRPr="002D7939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Cs/>
              </w:rPr>
              <w:t>Producent/Wykonawca.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CDF3E" w14:textId="3DDEF3C7" w:rsidR="00DA0A72" w:rsidRPr="002D7939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0C8D3A53" w14:textId="77777777" w:rsidR="00DA0A72" w:rsidRPr="002D7939" w:rsidRDefault="00DA0A72" w:rsidP="00DA0A72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70294" w:rsidRPr="002D7939" w14:paraId="1BF50CC4" w14:textId="77777777" w:rsidTr="003E4CB8">
        <w:trPr>
          <w:trHeight w:val="175"/>
        </w:trPr>
        <w:tc>
          <w:tcPr>
            <w:tcW w:w="993" w:type="dxa"/>
            <w:shd w:val="clear" w:color="auto" w:fill="FFFFFF" w:themeFill="background1"/>
            <w:vAlign w:val="center"/>
          </w:tcPr>
          <w:p w14:paraId="43F82DDA" w14:textId="77777777" w:rsidR="00DA0A72" w:rsidRPr="002D7939" w:rsidRDefault="00DA0A72">
            <w:pPr>
              <w:pStyle w:val="Akapitzlist"/>
              <w:numPr>
                <w:ilvl w:val="0"/>
                <w:numId w:val="2"/>
              </w:numPr>
              <w:spacing w:line="276" w:lineRule="auto"/>
              <w:ind w:right="355"/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3CD67" w14:textId="2D3AF6CF" w:rsidR="00DA0A72" w:rsidRPr="002D7939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Cs/>
              </w:rPr>
              <w:t>Kraj pochodzenia.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BADA6" w14:textId="4A1B21B0" w:rsidR="00DA0A72" w:rsidRPr="002D7939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6371B336" w14:textId="77777777" w:rsidR="00DA0A72" w:rsidRPr="002D7939" w:rsidRDefault="00DA0A72" w:rsidP="00DA0A72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70294" w:rsidRPr="002D7939" w14:paraId="533F638F" w14:textId="77777777" w:rsidTr="003E4CB8">
        <w:trPr>
          <w:trHeight w:val="188"/>
        </w:trPr>
        <w:tc>
          <w:tcPr>
            <w:tcW w:w="993" w:type="dxa"/>
            <w:shd w:val="clear" w:color="auto" w:fill="FFFFFF" w:themeFill="background1"/>
            <w:vAlign w:val="center"/>
          </w:tcPr>
          <w:p w14:paraId="0BFF4C14" w14:textId="77777777" w:rsidR="00DA0A72" w:rsidRPr="002D7939" w:rsidRDefault="00DA0A72">
            <w:pPr>
              <w:pStyle w:val="Akapitzlist"/>
              <w:numPr>
                <w:ilvl w:val="0"/>
                <w:numId w:val="2"/>
              </w:numPr>
              <w:spacing w:line="276" w:lineRule="auto"/>
              <w:ind w:right="355"/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665BE" w14:textId="0DE84983" w:rsidR="00DA0A72" w:rsidRPr="002D7939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Cs/>
              </w:rPr>
              <w:t>Pełna nazwa urządzenia.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A18FE" w14:textId="2358E1A3" w:rsidR="00DA0A72" w:rsidRPr="002D7939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4FADA27D" w14:textId="77777777" w:rsidR="00DA0A72" w:rsidRPr="002D7939" w:rsidRDefault="00DA0A72" w:rsidP="00DA0A72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70294" w:rsidRPr="002D7939" w14:paraId="078BBE51" w14:textId="77777777" w:rsidTr="003E4CB8">
        <w:trPr>
          <w:trHeight w:val="225"/>
        </w:trPr>
        <w:tc>
          <w:tcPr>
            <w:tcW w:w="993" w:type="dxa"/>
            <w:shd w:val="clear" w:color="auto" w:fill="FFFFFF" w:themeFill="background1"/>
            <w:vAlign w:val="center"/>
          </w:tcPr>
          <w:p w14:paraId="3A98C2A7" w14:textId="77777777" w:rsidR="00DA0A72" w:rsidRPr="002D7939" w:rsidRDefault="00DA0A72">
            <w:pPr>
              <w:pStyle w:val="Akapitzlist"/>
              <w:numPr>
                <w:ilvl w:val="0"/>
                <w:numId w:val="2"/>
              </w:numPr>
              <w:spacing w:line="276" w:lineRule="auto"/>
              <w:ind w:right="355"/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059D6" w14:textId="23D4E2CA" w:rsidR="00DA0A72" w:rsidRPr="002D7939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Cs/>
              </w:rPr>
              <w:t>Model/Typ.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332011" w14:textId="390D182E" w:rsidR="00DA0A72" w:rsidRPr="002D7939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2A61DDEE" w14:textId="77777777" w:rsidR="00DA0A72" w:rsidRPr="002D7939" w:rsidRDefault="00DA0A72" w:rsidP="00DA0A72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70294" w:rsidRPr="002D7939" w14:paraId="29CF5EA1" w14:textId="77777777" w:rsidTr="003E4CB8">
        <w:trPr>
          <w:trHeight w:val="15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BA7E2D9" w14:textId="77777777" w:rsidR="00DA0A72" w:rsidRPr="002D7939" w:rsidRDefault="00DA0A72">
            <w:pPr>
              <w:pStyle w:val="Akapitzlist"/>
              <w:numPr>
                <w:ilvl w:val="0"/>
                <w:numId w:val="2"/>
              </w:numPr>
              <w:spacing w:line="276" w:lineRule="auto"/>
              <w:ind w:right="355"/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65801" w14:textId="46656A69" w:rsidR="00DA0A72" w:rsidRPr="002D7939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color w:val="000000"/>
                <w:lang w:val="pl-PL"/>
              </w:rPr>
              <w:t>Zaoferowane urządzenie jest fabrycznie nowe rok produkcji 2023 i gotowe do użytku bez żadnych dodatkowych zakupów czy inwestycji.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5AE88A" w14:textId="3BB025D9" w:rsidR="00DA0A72" w:rsidRPr="002D7939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5297EF97" w14:textId="77777777" w:rsidR="00DA0A72" w:rsidRPr="002D7939" w:rsidRDefault="00DA0A72" w:rsidP="00DA0A72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E43E26C" w14:textId="77777777" w:rsidTr="003E4CB8">
        <w:trPr>
          <w:trHeight w:val="15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EB9805" w14:textId="3A7D428D" w:rsidR="003C201B" w:rsidRPr="002D7939" w:rsidRDefault="003E3416" w:rsidP="003E3416">
            <w:pPr>
              <w:spacing w:line="276" w:lineRule="auto"/>
              <w:ind w:right="355"/>
              <w:rPr>
                <w:rFonts w:ascii="Times New Roman" w:hAnsi="Times New Roman" w:cs="Times New Roman"/>
              </w:rPr>
            </w:pPr>
            <w:r w:rsidRPr="002D7939">
              <w:rPr>
                <w:rFonts w:ascii="Times New Roman" w:hAnsi="Times New Roman" w:cs="Times New Roman"/>
              </w:rPr>
              <w:t xml:space="preserve">     II</w:t>
            </w:r>
          </w:p>
        </w:tc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2F1D3" w14:textId="4AF00DF2" w:rsidR="003C201B" w:rsidRPr="002D7939" w:rsidRDefault="00CA4F91" w:rsidP="00DA0A72">
            <w:pPr>
              <w:spacing w:after="0" w:line="276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PARAMETRY OGÓLNE</w:t>
            </w:r>
          </w:p>
        </w:tc>
      </w:tr>
      <w:tr w:rsidR="003C201B" w:rsidRPr="002D7939" w14:paraId="27E045E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F74E5FB" w14:textId="44C0DB1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787B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Możliwości wykonania w każdym momencie instalacji integracji aparatu z posiadanym przez Zamawiającego systemem HIS (system Eskulap firmy Nexus Polska) oraz systemem Radpoint PACS, na który miałyby być przesyłane dane obrazowe wykonane z wykorzystaniem dostarczonego sprzętu.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ED797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  <w:vAlign w:val="center"/>
          </w:tcPr>
          <w:p w14:paraId="0AC44D90" w14:textId="38463B0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27DC2C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1E5CE42" w14:textId="35A28C7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6AE0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Możliwość w dowolnym okresie przygotowania dostarczanego urządzenia/oprogramowania, do podłączenia do wykorzystywanego przez Zamawiającego systemu celem otrzymania dwukierunkowej wymiany danych.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F9D56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  <w:vAlign w:val="center"/>
          </w:tcPr>
          <w:p w14:paraId="17D2867A" w14:textId="79528D8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DEB44D0" w14:textId="77777777" w:rsidTr="00622645">
        <w:trPr>
          <w:trHeight w:val="379"/>
        </w:trPr>
        <w:tc>
          <w:tcPr>
            <w:tcW w:w="993" w:type="dxa"/>
            <w:shd w:val="clear" w:color="auto" w:fill="FFFFFF" w:themeFill="background1"/>
            <w:vAlign w:val="center"/>
          </w:tcPr>
          <w:p w14:paraId="2DA4FDB8" w14:textId="37F3ECD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0" w:name="_Hlk148441956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637A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Aparat do znieczulania ogólnego dla min. dzieci i dorosłych.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1571B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598C7EDA" w14:textId="6F0D1B2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2364E6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5BBD4AD" w14:textId="23D23A7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C71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Zasilanie dostosowane do 230 V, 50 Hz.  Transformator separacyjny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499D1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6B5836AC" w14:textId="64D8C67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A72A22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86BCC2B" w14:textId="5318D35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4714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Zasilanie awaryjne zapewniające pracę aparatu przy zaniku napięcia sieci elektroenergetycznej.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A7A9A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1A1B7560" w14:textId="6B43C9A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6CC235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AC316BF" w14:textId="7A6FDB8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64C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Zasilanie w gazy (O2, N2O, powietrze) z centralnej sieci szpitalnej. Prezentacja ciśnień gazów zasilających (centralnych i z butli) na ekranie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9D8F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054F1B04" w14:textId="229D065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D3CA9E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074E9D4" w14:textId="3046F6E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32A59" w14:textId="77777777" w:rsidR="00DA0A72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Węże wysokociśnieniowe (O2, N2O, powietrze) kodowane odpowiednimi kolorami </w:t>
            </w:r>
          </w:p>
          <w:p w14:paraId="403B3219" w14:textId="433E4027" w:rsidR="00152193" w:rsidRPr="00152193" w:rsidRDefault="00152193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152193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WTYKI GAZOW</w:t>
            </w:r>
            <w:r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E</w:t>
            </w:r>
            <w:r w:rsidRPr="00152193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 xml:space="preserve"> TYPU AGA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DB8E2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36FC6F0A" w14:textId="7D09AB7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87BDA9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B4FB406" w14:textId="2D7BFD9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A3C9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Precyzyjne elektroniczne przepływomierze tlenu, podtlenku azotu i powietrza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37B24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629064E7" w14:textId="77050A3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118812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27DC98B" w14:textId="08BBC69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A88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Kalibracja przepływomierzy dostosowana do znieczulania z niskimi i minimalnymi przepływami gazów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3CE89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0B4E2CC7" w14:textId="1764D8B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801362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4203546" w14:textId="26BDA48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926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Wbudowany przepływomierz tlenu, niezależny od układu okrężnego, z regulowanym przepływem tlenu minimum do 10 l/min.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62AD4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0F5AC340" w14:textId="12DB8389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1740FE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1886AEF" w14:textId="545DD8E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B461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Elektroniczny mieszalnik gazów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BB98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6C5FC777" w14:textId="0A51CD1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69A4FD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C91D0BA" w14:textId="2F5744E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14CEF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Przepływomierz awaryjny O2 o przepływie O2 min. 10  l/min. Możliwa wentylacja ręczna i mechaniczna w trybie awaryjnym.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12CBC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781206C3" w14:textId="7F35357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C52705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8F4CAD5" w14:textId="41FA243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394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System automatycznego utrzymywania stężenia tlenu w mieszaninie z podtlenkiem azotu na poziomie minimum 25 %.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021D9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1CE30563" w14:textId="375198E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5FBB53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1ABCCF6" w14:textId="344CE9F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2C4A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Wbudowana regulowana zastawka nadciśnieniowa APL wentylacji ręcznej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FC304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75B9DA61" w14:textId="5062F0D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5C23D6C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41A75" w14:textId="05B960B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D0C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Aparat wyposażony w blat do pisania i minimum jedną szufladę na akcesoria zamykaną na kluczyk.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00BDA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7A3F9EF6" w14:textId="7EBE40A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92F65BF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B5464" w14:textId="33C0CD4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596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Wbudowane oświetlenie LED blatu z regulacją natężenia światła.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03696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57EDCF1D" w14:textId="63C3D4C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26D5ED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A5F44E7" w14:textId="068F495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16B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Urządzenie gotowe do komunikacji ze szpitalnymi systemami informatycznymi typu HIS – polegający na zbieraniu parametrów życiowych pacjenta. Urządzenie zawiera aktywne wszystkie licencje i otwarte wszystkie protokoły niezbędne do integracji ze szpitalnym systemem CIS.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AC77D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619AF77" w14:textId="6AC6F5D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0"/>
      <w:tr w:rsidR="003C201B" w:rsidRPr="002D7939" w14:paraId="50EBDB4A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C4CA0" w14:textId="3C8538E5" w:rsidR="003C201B" w:rsidRPr="002D7939" w:rsidRDefault="003E3416" w:rsidP="003E3416">
            <w:pPr>
              <w:rPr>
                <w:rFonts w:ascii="Times New Roman" w:hAnsi="Times New Roman" w:cs="Times New Roman"/>
                <w:b/>
              </w:rPr>
            </w:pPr>
            <w:r w:rsidRPr="002D7939">
              <w:rPr>
                <w:rFonts w:ascii="Times New Roman" w:hAnsi="Times New Roman" w:cs="Times New Roman"/>
                <w:b/>
              </w:rPr>
              <w:t xml:space="preserve">      III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7B824DB4" w14:textId="14B2B6C4" w:rsidR="003C201B" w:rsidRPr="007A4065" w:rsidRDefault="003C201B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UKŁAD ODDECHOWY</w:t>
            </w:r>
          </w:p>
        </w:tc>
      </w:tr>
      <w:tr w:rsidR="003C201B" w:rsidRPr="002D7939" w14:paraId="292CC5A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3488B1D" w14:textId="41FCC1A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1" w:name="_Hlk148442106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D9A39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Kompaktowy układ oddechowy okrężny do wentylacji min. dzieci i dorosłych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24983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187A5C1F" w14:textId="6DD121B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38EBF1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5A6D6C8" w14:textId="189E0EF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84F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Układ oddechowy o prostej budowie, do łatwej wymiany i sterylizacji, pozbawiony lateksu.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B7DB9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835D08F" w14:textId="0B089FE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60A4E5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6449CBC" w14:textId="02B0F7C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D9C8F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Obejście tlenowe o dużej wydajności min. 25-75 l/min.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BDFA3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 zakres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2F4C8801" w14:textId="64EA98E9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463D654" w14:textId="77777777" w:rsidTr="00622645">
        <w:trPr>
          <w:trHeight w:val="644"/>
        </w:trPr>
        <w:tc>
          <w:tcPr>
            <w:tcW w:w="993" w:type="dxa"/>
            <w:shd w:val="clear" w:color="auto" w:fill="FFFFFF" w:themeFill="background1"/>
            <w:vAlign w:val="center"/>
          </w:tcPr>
          <w:p w14:paraId="746CB12D" w14:textId="5A1DF27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0D6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Pochłaniacz dwutlenku węgla, wielokrotnego użytku, o budowie przeziernej i pojemności max. 1,5 L.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DCEAA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 objętość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1AAE6C4" w14:textId="16F90D7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989B29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522284A" w14:textId="49EBBE6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553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Aparat do znieczulenia wyposażony w funkcję używania zamiennie pochłaniaczy wielorazowych i jednorazowych podczas znieczulenia bez rozszczelnienia układu. Wymiana bez stosowania narzędzi. Min 4 pojemniki jednorazowe.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1A02E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C8A87D4" w14:textId="6B87755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DE2737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296591A" w14:textId="73F3AFC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FE0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Usuwanie gazów anestetycznych poza salę operacyjną dostosowane do systemu odprowadzania gazów z kolumny. Wyjście ewakuacji gazów z zabezpieczeniem przed wyssaniem gazów z układu okrężnego. Przewód do podłączenia wyjścia ewakuacji gazów anestetycznych aparatu z odciągiem gazów w kolumnie anestezjologicznej (kompletny przewód)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24C99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5D2AA78" w14:textId="46AE3B6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2CAFC9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3748D12" w14:textId="66AC7BD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4DAA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Ekonomizer znieczulania: funkcja optymalnego doboru przepływu świeżych gazów i oszczędzania środków wziewnych.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54742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C4EB6E2" w14:textId="252A280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ED45B8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0498D90" w14:textId="02184A8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8C3A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Zapobieganie powstawaniu mieszaniny </w:t>
            </w:r>
          </w:p>
          <w:p w14:paraId="4105A3C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hipoksycznej podczas anestezji i anestezji niskich i minimalnych przepływów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8A3D2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DB188A7" w14:textId="5D4F4CB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B5C90B1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3C89420" w14:textId="78EF682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7650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Układ oddechowy kompaktowy dla noworodków, dzieci i dorosłych pozbawiony lateksu nadający się do sterylizacji w autoklawie.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C3388" w14:textId="77777777" w:rsidR="00DA0A72" w:rsidRPr="007A4065" w:rsidRDefault="00DA0A72" w:rsidP="00DA0A72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3FEA714" w14:textId="463E179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1"/>
      <w:tr w:rsidR="00D532D4" w:rsidRPr="002D7939" w14:paraId="4EFD2F83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7BBC1" w14:textId="47AAF7C8" w:rsidR="00D532D4" w:rsidRPr="002D7939" w:rsidRDefault="003E3416" w:rsidP="003E3416">
            <w:pPr>
              <w:rPr>
                <w:rFonts w:ascii="Times New Roman" w:hAnsi="Times New Roman" w:cs="Times New Roman"/>
                <w:b/>
              </w:rPr>
            </w:pPr>
            <w:r w:rsidRPr="002D7939">
              <w:rPr>
                <w:rFonts w:ascii="Times New Roman" w:hAnsi="Times New Roman" w:cs="Times New Roman"/>
                <w:b/>
              </w:rPr>
              <w:t xml:space="preserve">      IV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068C49F0" w14:textId="0AF9740D" w:rsidR="00D532D4" w:rsidRPr="007A4065" w:rsidRDefault="00D532D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lang w:val="pl-PL" w:eastAsia="pl-PL"/>
              </w:rPr>
              <w:t>RESPIRATOR ANESTETYCZNY</w:t>
            </w:r>
          </w:p>
        </w:tc>
      </w:tr>
      <w:tr w:rsidR="003C201B" w:rsidRPr="002D7939" w14:paraId="6F4B329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2149EB0" w14:textId="6FFF897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2" w:name="_Hlk148442119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A79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Tryb wentylacji ciśnieniowo – zmienny (PC) lub z gwarantowaną objętością typu AutoFlow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15983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5E6F4F89" w14:textId="571AD36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9BFB94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2E0429D" w14:textId="3948F82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5BC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Tryb wentylacji objętościowo – zmienny (VC).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937F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DA0B800" w14:textId="3B2D7D1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6447CE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B32EA1F" w14:textId="3F643E3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9C99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Tryb ciśnieniowy zmienny z gwarantowaną objętością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084A7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28FEB5A" w14:textId="5B25F28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F6FEB0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C77FC36" w14:textId="03B2B1B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9C1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Synchronizowana przerywana wentylacja wymuszona (SIMV) w trybie objętościowo – zmiennym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86E48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1CFE422" w14:textId="59D58D2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E45F4F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39957EC" w14:textId="7958CA7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EB86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Synchronizowana przerywana wentylacja wymuszona (SIMV) w trybie ciśnieniowo – zmiennym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5F036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4C82BD3" w14:textId="70947A1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97609F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CD2EA11" w14:textId="5E5C234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A553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Synchronizowana przerywana wentylacja wymuszona (SIMV) w trybie ciśnieniowo zmiennym z gwarantowaną objętością lub ze </w:t>
            </w:r>
          </w:p>
          <w:p w14:paraId="3453B39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wspomaganiem ciśnieniowym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D5976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8B59730" w14:textId="0B1CA04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65181A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06845E7" w14:textId="0FC231F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A99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Tryb wentylacji wspomaganej ciśnieniem (tzw. Pressure Support) z automatycznym włączeniem wentylacji zapasowej po wystąpieniu alarmu bezdechu respiratora. Czułość wyzwalania przepływowego min. 0,3-10 l/min.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C5381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04E87EB4" w14:textId="643E324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1212D7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FE6C6D7" w14:textId="2802812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71FA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Tryb wentylacji typu CPAP+PSV.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5A1E2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3697E5B" w14:textId="411C20F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2CC745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0DA2838" w14:textId="0322960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594B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Tryb wentylacji ręczny.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7A01A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6BCC487" w14:textId="6F28922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230A56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8980CD7" w14:textId="60E18B7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68C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Aparat wyposażony w tryb pracy w krążeniu pozaustrojowym, zapewniający: wentylację ręczną w krążeniu pozaustrojowym z </w:t>
            </w:r>
          </w:p>
          <w:p w14:paraId="4E8D5782" w14:textId="77777777" w:rsidR="00DA0A72" w:rsidRPr="007A4065" w:rsidRDefault="00DA0A72" w:rsidP="00DA0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zawieszeniem alarmów min. objętości, bezdechu i </w:t>
            </w:r>
          </w:p>
          <w:p w14:paraId="1F62FF6E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CO2, z informacją na ekranie respiratora o włączonym trybie pracy w krążeniu pozaustrojowym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DD356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3FD2991" w14:textId="027B720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E5E49A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F46A6E8" w14:textId="47B02BA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CC2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Pauza w przepływie gazów minimum do 1 min. w trybie wentylacji ręcznej i mechanicznej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CCA28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AB434E6" w14:textId="54D34A0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42D1B0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23B5273" w14:textId="4C88555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B8A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Automatyczna wielostopniowa rekrutacja pęcherzyków płucnych programowana i obrazowana na ekranie respiratora. Możliwość ustawienia PEEP na wyjściu z procedury rekrutacji.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6C552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7C3F8D0" w14:textId="48CC625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342AF6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171CE3B" w14:textId="253F3EC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1716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Automatyczna jednostopniowa rekrutacja pęcherzyków płucnych- podanie na żądanie dodatkowego jednego oddechu pod określonym ciśnieniem przez określony czas bez wykonania zmian w ustawieniach respiratora – wentylacja mechaniczna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7FFDF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499F6717" w14:textId="63E6568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51E3401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04FD849" w14:textId="065927E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88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regulacji stosunku wdechu do wydechu min. 2:1 ÷ 1:4.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F617F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2EB1C6A3" w14:textId="1691B96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6CD7A6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2BDED92" w14:textId="255C6BD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FC06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regulacji częstości oddechu w trybie wentylacji ciśnieniowo-zmiennej i objętościowozmiennej min. 4 - 100  oddechów / min.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4D208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0094C81C" w14:textId="6F8382A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1E1102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3DE9C26" w14:textId="65A1BCF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44C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regulacji objętości oddechowej w trybie wentylacji objętościowo-zmiennej min. 20 - 1500 ml.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F9021" w14:textId="77777777" w:rsidR="00DA0A72" w:rsidRPr="007A4065" w:rsidRDefault="00DA0A72" w:rsidP="00DA0A72">
            <w:pPr>
              <w:spacing w:after="0" w:line="240" w:lineRule="auto"/>
              <w:ind w:right="53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5F9F962" w14:textId="23375A3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3DD558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2346833" w14:textId="08DA5F5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5EC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objętości oddechowej w trybie wentylacji ciśnieniowo-zmiennej lub objętościowo zmiennej min. 10 -  1500 ml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76BA9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7D5DD5BB" w14:textId="1D8DCAD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309B35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D26F9C8" w14:textId="3C8854C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2A0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regulacji dodatniego ciśnienia końcowowydechowego (PEEP) min. 4 - 25 cm H2O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EF7A2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7D61265D" w14:textId="63AAD35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A8CFB7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6323705" w14:textId="5528939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5A4E9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regulacji Plateau wdechu min. 5 -  60 % czasu wdechu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86A3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3BF3CD1" w14:textId="2B7BD1B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BF615D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D96C58A" w14:textId="10B3883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0E6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Calibri" w:hAnsi="Times New Roman" w:cs="Times New Roman"/>
                <w:color w:val="000000"/>
                <w:lang w:val="pl-PL"/>
              </w:rPr>
              <w:t>Manometr pomiaru ciśnienia w układzie wyświetlany na ekranie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78268" w14:textId="294ACF43" w:rsidR="00CA4F91" w:rsidRPr="007A4065" w:rsidRDefault="0033645B" w:rsidP="00CA4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  <w:p w14:paraId="74A68C5C" w14:textId="386D5911" w:rsidR="00DA0A72" w:rsidRPr="007A4065" w:rsidRDefault="00DA0A72" w:rsidP="0033645B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  <w:tc>
          <w:tcPr>
            <w:tcW w:w="3616" w:type="dxa"/>
            <w:shd w:val="clear" w:color="auto" w:fill="FFFFFF" w:themeFill="background1"/>
          </w:tcPr>
          <w:p w14:paraId="74B341F4" w14:textId="4829D43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2"/>
      <w:tr w:rsidR="00D532D4" w:rsidRPr="002D7939" w14:paraId="2200BE2B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1B299" w14:textId="427A8FD2" w:rsidR="00D532D4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V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6DB709D2" w14:textId="6A3B799F" w:rsidR="00D532D4" w:rsidRPr="007A4065" w:rsidRDefault="00D532D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SYSTEM ALARMÓW</w:t>
            </w:r>
          </w:p>
        </w:tc>
      </w:tr>
      <w:tr w:rsidR="003C201B" w:rsidRPr="002D7939" w14:paraId="6F06AF0C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18C3B49" w14:textId="027A84E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3" w:name="_Hlk148442126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13D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 niskiej objętości minutowej MV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30E3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460CAAF1" w14:textId="07BE2CC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B6DB25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E7654D8" w14:textId="314A58E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DB7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Alarmy TV z regulowanymi progami górnym i dolnym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DBEA5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532DDA4" w14:textId="25C9758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86CAF5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A60BF87" w14:textId="0C4189D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6FC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 minimalnego i maksymalnego ciśnienia wdechowego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D78BE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0F7405B" w14:textId="3CADEF8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363732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C8F4CA3" w14:textId="4951A12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CD3F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 Apnea.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E764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C04E8CA" w14:textId="77CB6FE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05B031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944D2F7" w14:textId="5B9FF07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E31F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 braku zasilania w energię elektryczną.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06BBD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3B34B42" w14:textId="528FD00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F7D844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E9324BB" w14:textId="21D7FD6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18F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 braku zasilania w gazy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A8487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A119492" w14:textId="722D36F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3"/>
      <w:tr w:rsidR="00D532D4" w:rsidRPr="002D7939" w14:paraId="35B1FDF5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84619" w14:textId="5E771F50" w:rsidR="00D532D4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VI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2BAA0C98" w14:textId="3BE5766D" w:rsidR="00D532D4" w:rsidRPr="007A4065" w:rsidRDefault="00D532D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POMIARY I OBRAZOWANIE</w:t>
            </w:r>
          </w:p>
        </w:tc>
      </w:tr>
      <w:tr w:rsidR="003C201B" w:rsidRPr="002D7939" w14:paraId="21E36B8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8687893" w14:textId="22FF96D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4" w:name="_Hlk148442134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6475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stężenia tlenu w gazach oddechowych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A753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994F0B7" w14:textId="4BA1D2E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54AEB3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CA10C16" w14:textId="424AE85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6D0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objętości oddechowej (TV).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7E01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01A2003" w14:textId="1A24E4D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ECA85B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62E1B1C" w14:textId="4EC0EFF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C64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objętości minutowej (MV).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9795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16E47F0" w14:textId="146B44A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8F5D7E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A77F0C1" w14:textId="5AC352D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BF5F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częstości oddechu.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6350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9DD46E7" w14:textId="72347D0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CB1CD7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A684D12" w14:textId="124ECA9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1A66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szczytowego.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52E0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A4F3BB0" w14:textId="62AD334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12E2B3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C252CAB" w14:textId="73BEE8A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8A6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średniego.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DECBC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3CF4246" w14:textId="299544C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A35FE3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33C5770" w14:textId="7DF155A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2C9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Plateau.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92F2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430CB985" w14:textId="5E7C1DD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E9F288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465F764" w14:textId="2E6F6D4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0A3C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PEEP.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6D037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9B6A32F" w14:textId="5A90DC7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54C536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AE19C07" w14:textId="03C07B5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B972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stężenia wdechowego i wydechowego tlenu w gazach oddechowych metodą paramagnetyczną.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8312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ED4D06A" w14:textId="0267105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43CE371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C27F7D9" w14:textId="0A4868B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C157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stężenia gazów i środków anestetycznych </w:t>
            </w:r>
          </w:p>
          <w:p w14:paraId="5BB0B46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(sevofluranu, desfluranu, isofluranu) w mieszaninie wdechowej i wydechowej.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870C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2AA698B3" w14:textId="46EA68D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865A01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EEE4CC7" w14:textId="16E5D92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4494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Automatyczna identyfikacja anestetyku wziewnego i analiza MAC z uwzględnieniem wieku pacjenta.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B3015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C857EFE" w14:textId="29C3EEE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6A6DC9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DBAF5E1" w14:textId="0AC74D4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B80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Ekran kolorowy LCD, dotykowy, do nastaw i prezentacji parametrów wentylacji i krzywych.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C48D9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47DD7A3A" w14:textId="5CB0B74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F16588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A6A28D6" w14:textId="1AECA6E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5D4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pomiarów gazowych wyjmowany z aparatu kompatybilny z monitorem tego samego producenta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E0EC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– 5 PKT </w:t>
            </w:r>
          </w:p>
          <w:p w14:paraId="16DF5358" w14:textId="5C9F9267" w:rsidR="00DA0A72" w:rsidRPr="007A4065" w:rsidRDefault="0033645B" w:rsidP="0033645B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19EDB3C5" w14:textId="02743B2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E0CB52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74FAD61" w14:textId="03CB233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36C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Przekątna ekranu: minimum 15".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861F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podać </w:t>
            </w:r>
          </w:p>
        </w:tc>
        <w:tc>
          <w:tcPr>
            <w:tcW w:w="3616" w:type="dxa"/>
            <w:shd w:val="clear" w:color="auto" w:fill="FFFFFF" w:themeFill="background1"/>
          </w:tcPr>
          <w:p w14:paraId="3A40ABD4" w14:textId="400EBDA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CF7FA4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88EDB3C" w14:textId="2313ADA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D518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Rozdzielczość: minimum 1024 x 768 pikseli.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B15B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podać </w:t>
            </w:r>
          </w:p>
        </w:tc>
        <w:tc>
          <w:tcPr>
            <w:tcW w:w="3616" w:type="dxa"/>
            <w:shd w:val="clear" w:color="auto" w:fill="FFFFFF" w:themeFill="background1"/>
          </w:tcPr>
          <w:p w14:paraId="16B370B8" w14:textId="108FACF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CEFBFF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049D29B" w14:textId="44F9DF5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1698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Ekran główny respiratora niewbudowany w korpus aparatu lub wbudowany w korpus aparatu z możliwością jego przestawienia w płaszczyźnie pionowej i poziomej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A95D3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AB355CF" w14:textId="72EBF1D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9CE574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4A4316F" w14:textId="40FA209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94CD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Ekran umieszczony na ruchomym wysięgniku z regulacją przesuwu w poziomie i kąta pochylenia.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58DDE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– 5 PKT </w:t>
            </w:r>
          </w:p>
          <w:p w14:paraId="11D57B99" w14:textId="6EA027C1" w:rsidR="00DA0A72" w:rsidRPr="007A4065" w:rsidRDefault="0033645B" w:rsidP="0033645B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2D622912" w14:textId="60A900E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3AE2F7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BF814EA" w14:textId="56C110B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3D1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Możliwość konfigurowania i zapamiętania minimum 3-ech niezależnych stron ekranu respiratora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F3401" w14:textId="77777777" w:rsidR="00DA0A72" w:rsidRPr="007A4065" w:rsidRDefault="00DA0A72" w:rsidP="00DA0A72">
            <w:pPr>
              <w:spacing w:after="0"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397052B" w14:textId="4E952C7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C8E7F8D" w14:textId="77777777" w:rsidTr="003E4CB8">
        <w:trPr>
          <w:trHeight w:val="327"/>
        </w:trPr>
        <w:tc>
          <w:tcPr>
            <w:tcW w:w="993" w:type="dxa"/>
            <w:shd w:val="clear" w:color="auto" w:fill="FFFFFF" w:themeFill="background1"/>
            <w:vAlign w:val="center"/>
          </w:tcPr>
          <w:p w14:paraId="3C60CBB1" w14:textId="47ABA18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313C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wartości numerycznych i krzywej dynamicznej prężności CO2 w strumieniu wdechowym i wydechowym.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98D69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1ED85701" w14:textId="4BD8673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69C60F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1C03B49" w14:textId="1E60E92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2B2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koncentracji anestetyku wziewnego na wdechu i wydechu.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628AA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53992E91" w14:textId="47FC7E79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0C1C83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841D4D4" w14:textId="06DE261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99B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obrazowania krzywej stężenia anestetyków.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BCD01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244496E" w14:textId="3C8CCB7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EF6282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52ADC38" w14:textId="1368D3F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F1BF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krzywej przepływu w drogach oddechowych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F751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CF1AFE8" w14:textId="0066501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5A616B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46E5373" w14:textId="3797A13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45E5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min. pętli: </w:t>
            </w:r>
          </w:p>
          <w:p w14:paraId="2C23D0E0" w14:textId="77777777" w:rsidR="00DA0A72" w:rsidRPr="007A4065" w:rsidRDefault="00DA0A7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ciśnienie / objętość </w:t>
            </w:r>
          </w:p>
          <w:p w14:paraId="7510EDB9" w14:textId="77777777" w:rsidR="00DA0A72" w:rsidRPr="007A4065" w:rsidRDefault="00DA0A7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przepływ / objętość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7CD5EF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  <w:p w14:paraId="4127F1E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621B192" w14:textId="701BADF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49D00B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FC23ACE" w14:textId="4F116F1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6BFE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podatności układu oddechowego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C3325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5623BCC" w14:textId="70ECCEB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DBB919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6312CC6" w14:textId="6ADF753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558F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Zapis minimum jednej pętli spirometrycznej i jednej pętli wzorcowej lub jednej pętli wzorcowej z prezentacją ostatnich 5 pętli spirometrycznych.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2408A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62327D3" w14:textId="47C42F4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486139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FCCE95B" w14:textId="19A15B4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14EF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wartości ciśnienia gazów w instalacji szpitalnej na ekranie respiratora z funkcją zmiany jednostki pomiaru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FC9B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D125CFB" w14:textId="4C57ACE9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DBD1D3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6A9DB1F" w14:textId="5E36D28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239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Automatyczna kalkulacja parametrów wentylacji po wprowadzeniu masy pacjenta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AC7FF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465BAD4" w14:textId="5A913DD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4"/>
      <w:tr w:rsidR="00D532D4" w:rsidRPr="002D7939" w14:paraId="6EB4E3D0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6F51E" w14:textId="64C8FD89" w:rsidR="00D532D4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VII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017132C2" w14:textId="3D7504A8" w:rsidR="00D532D4" w:rsidRPr="007A4065" w:rsidRDefault="00D532D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OBSŁUGA PAROWNIKÓW</w:t>
            </w:r>
          </w:p>
        </w:tc>
      </w:tr>
      <w:tr w:rsidR="003C201B" w:rsidRPr="002D7939" w14:paraId="4EB3648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C948A44" w14:textId="29DC6C3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5" w:name="_Hlk148442142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920B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Uchwyt dla minimum 2 parowników.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7699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1DB8CC0" w14:textId="10FF0B4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DED6CA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323C95C" w14:textId="0831554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AB1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jednoczesnego podłączenia parownika do sevofluranu i desfluranu.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11F1A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D70DD7A" w14:textId="235F401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248B52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86E52FB" w14:textId="67A1349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23AE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Zabezpieczenie przed podaniem dwóch środków wziewnych równocześnie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99F75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0535213C" w14:textId="182966E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A55F7E4" w14:textId="77777777" w:rsidTr="00971B92">
        <w:trPr>
          <w:trHeight w:val="427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5AF935" w14:textId="2E6BA71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171DC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Aparat obsługujący parowniki sterowane elektronicznie lub mechanicznie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DE25A0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57FB71" w14:textId="075E6605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971B92" w:rsidRPr="004523DE" w14:paraId="53447983" w14:textId="77777777" w:rsidTr="00971B92">
        <w:trPr>
          <w:trHeight w:val="173"/>
        </w:trPr>
        <w:tc>
          <w:tcPr>
            <w:tcW w:w="9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4CC0E7E" w14:textId="77777777" w:rsidR="00971B92" w:rsidRPr="002D7939" w:rsidRDefault="00971B9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FA26" w14:textId="75CCDF79" w:rsidR="00971B92" w:rsidRPr="007A4065" w:rsidRDefault="004523DE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lang w:val="pl-PL" w:eastAsia="pl-PL"/>
              </w:rPr>
              <w:t>T</w:t>
            </w:r>
            <w:r w:rsidRPr="004523DE">
              <w:rPr>
                <w:rFonts w:ascii="Times New Roman" w:eastAsia="Times New Roman" w:hAnsi="Times New Roman" w:cs="Times New Roman"/>
                <w:lang w:val="pl-PL" w:eastAsia="pl-PL"/>
              </w:rPr>
              <w:t>yp wtyku odciągu gazów poanestetycznych</w:t>
            </w:r>
            <w:r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  <w:r w:rsidRPr="004523DE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AGSS AGA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D5FBD" w14:textId="77777777" w:rsidR="00971B92" w:rsidRPr="007A4065" w:rsidRDefault="00971B9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  <w:tc>
          <w:tcPr>
            <w:tcW w:w="361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21ED0FE" w14:textId="77777777" w:rsidR="00971B92" w:rsidRPr="007A4065" w:rsidRDefault="00971B9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5"/>
      <w:tr w:rsidR="00D532D4" w:rsidRPr="002D7939" w14:paraId="15C06BD7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3B780" w14:textId="18814F99" w:rsidR="00D532D4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4523DE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    </w:t>
            </w:r>
            <w:r w:rsidRPr="002D7939">
              <w:rPr>
                <w:rFonts w:ascii="Times New Roman" w:hAnsi="Times New Roman" w:cs="Times New Roman"/>
                <w:b/>
                <w:bCs/>
              </w:rPr>
              <w:t>VIII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5471330D" w14:textId="57F6D599" w:rsidR="00D532D4" w:rsidRPr="007A4065" w:rsidRDefault="00D532D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SSAK</w:t>
            </w:r>
          </w:p>
        </w:tc>
      </w:tr>
      <w:tr w:rsidR="003C201B" w:rsidRPr="002D7939" w14:paraId="34036C0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1F5E316" w14:textId="1B45CA5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7D8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Aparat wyposażony w wbudowany ssak inżektorowy z regulacja podciśnienia, z pojemnikami min. 0,7 l do wymiennych wkładów.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DF1C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523A87C" w14:textId="4B7C921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D0C376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253E6E5" w14:textId="5F70397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81F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Wymienne wkłady: minimum 5 szt. dla każdego urządzenia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F78A2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0613A73" w14:textId="04FCCEF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532D4" w:rsidRPr="002D7939" w14:paraId="0906E9F3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745CA" w14:textId="684B70E5" w:rsidR="00D532D4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IX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7BEE88E6" w14:textId="478CD2D9" w:rsidR="00D532D4" w:rsidRPr="007A4065" w:rsidRDefault="00D532D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SYSTEM TESTOWANIA APARATU</w:t>
            </w:r>
          </w:p>
        </w:tc>
      </w:tr>
      <w:tr w:rsidR="003C201B" w:rsidRPr="002D7939" w14:paraId="04F6040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949D5A2" w14:textId="464C0EE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6" w:name="_Hlk148442149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5973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Automatyczny lub automatyczny z interakcją z personelem test kontrolny aparatu, sprawdzający jego działanie.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62FDC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2682DA1B" w14:textId="719C174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44E85B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D04EEDC" w14:textId="6EE3867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C4CD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celu zwiększenie bezpieczeństwa i polepszenia organizacji pracy na bloku operacyjnym aparat do znieczulenia wyposażony w dziennik testów kontrolnych prezentowany na ekranie aparatu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D4CCC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6A64916" w14:textId="0C35877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6"/>
      <w:tr w:rsidR="004F7D22" w:rsidRPr="00152193" w14:paraId="07690A05" w14:textId="77777777" w:rsidTr="003E4CB8">
        <w:trPr>
          <w:trHeight w:val="17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6D9F11" w14:textId="6F35589B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X</w:t>
            </w:r>
          </w:p>
        </w:tc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A2CE564" w14:textId="640D631A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MONITOR PACJENTA DO APARATU DO ZNIECZULENIA (KARDIOMONITOR)</w:t>
            </w:r>
          </w:p>
        </w:tc>
      </w:tr>
      <w:tr w:rsidR="003C201B" w:rsidRPr="002D7939" w14:paraId="64431A5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3B20960" w14:textId="6B68D19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7" w:name="_Hlk148442153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A47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Monitor wyposażony w dotykowy ekran o przekątnej min. 19".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8DF24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DB56DD3" w14:textId="7C9B7C9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422900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6434E36" w14:textId="2F3D041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63B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Monitor wyposażony w funkcję obliczeń hemodynamicznych, utlenowania oraz wentylacji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9D46B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B27E254" w14:textId="5627BB5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29EF20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CFD0CE7" w14:textId="52D3B55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4CD0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4D7D6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– 5 PKT </w:t>
            </w:r>
          </w:p>
          <w:p w14:paraId="2E99D6CA" w14:textId="47B9096E" w:rsidR="00DA0A72" w:rsidRPr="007A4065" w:rsidRDefault="0033645B" w:rsidP="0033645B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130C86E0" w14:textId="4D49FC2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7"/>
      <w:tr w:rsidR="004F7D22" w:rsidRPr="002D7939" w14:paraId="0725079F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B7C84B" w14:textId="52614748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XI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2E68D7A1" w14:textId="0919DE36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Moduł transportowy</w:t>
            </w:r>
          </w:p>
        </w:tc>
      </w:tr>
      <w:tr w:rsidR="003C201B" w:rsidRPr="002D7939" w14:paraId="575B3C5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2A200DB" w14:textId="10B804E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8" w:name="_Hlk148442160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9DD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wyposażony we wbudowany ekran o przekątnej min. 6,0” z funkcją automatycznego dostosowania wyświetlania do położenia monitora, skokowo przynajmniej co 180°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EF123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08950130" w14:textId="2A5B22F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BDD0CA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227C93F" w14:textId="7E9FC12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73B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zapewnia jednoczesną prezentację przynajmniej 3 krzywych dynamicznych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3262B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0ABC7B90" w14:textId="0558F31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0E6856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A3BCF4A" w14:textId="51C27D8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C3BB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konfiguracji przynajmniej 2 widoków ekranu modułu transportowego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B1880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CCA1DCF" w14:textId="407263E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453A671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698E6AF" w14:textId="2D56043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A3B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wyposażony we wbudowane zasilanie akumulatorowe na przynajmniej 4 godziny pracy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44D2C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A803A91" w14:textId="7F6FE87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022C52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82507C2" w14:textId="57EBEAC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54A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przystosowany do warunków transportowych, odporny na upadek z wysokości przynajmniej 1m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64BFA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76C8CB0E" w14:textId="0335082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44B339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0F36189" w14:textId="109B7EE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86D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przystosowany do warunków transportowych, klasa odporności na </w:t>
            </w:r>
          </w:p>
          <w:p w14:paraId="53CF615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zachlapanie wodą nie gorsza niż IPX1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62204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5DA45484" w14:textId="24857BC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6345F4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406969F" w14:textId="385F77B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342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Masa modułu transportowego wraz z </w:t>
            </w:r>
          </w:p>
          <w:p w14:paraId="2A5635E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wbudowanym ekranem oraz akumulatorem poniżej 2kg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DA253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488FBE5" w14:textId="2FEA7E6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59AB39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237ED87" w14:textId="4180C2F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198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zapewnia kontynuację monitorowania w czasie transportu przynajmniej następujących parametrów (zgodnie z ich wymogami opisanymi w dalszej części </w:t>
            </w:r>
          </w:p>
          <w:p w14:paraId="66FF2BF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specyfikacji): EKG, SpO2, NIBP, 2x Temp., 2x IBP, z możliwością rozbudowy o pomiar CO2 w strumieniu bocznym. Dostępność parametrów zależna wyłącznie od podłączonych akcesoriów pomiarowych lub poprzez podłączenie do modułu transportowego dodatkowych modułów wieloparametrowych.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5EB0F" w14:textId="77777777" w:rsidR="00DA0A72" w:rsidRPr="007A4065" w:rsidRDefault="00DA0A72" w:rsidP="00DA0A72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F1CF974" w14:textId="5200F31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C6F9F1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AE8FA55" w14:textId="03C4072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4B1F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 transportowy zapewnia nieprzerwane monitorowanie ww. parametrów, a także przenoszenie pomiędzy stanowiskami: pamięci trendów i zdarzeń alarmowych, uzupełniając ją na nowym stanowisku o dane pozyskane w trakcie transportu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6BF99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1FD45E9" w14:textId="097B7F5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7030A0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136E59D" w14:textId="1253F87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81B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Moduły pomiarowe podłączane do monitora transportowego cyfrowe, w medycznym standardzie USB: funkcja 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podłączenia dowolnego modułu do dowolnie wybranego portu USB w monitorze transportowym, podłączenie modułu zapewnia automatyczne rozpoczęcie pomiaru, funkcja zdalnej weryfikacji (np. przez serwis) jakie moduły pomiarowe zostały podłączone do monitora transportowego (min. rodzaj modułu, numer seryjny)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CCD3" w14:textId="77777777" w:rsidR="00CA4F91" w:rsidRPr="007A4065" w:rsidRDefault="00CA4F91" w:rsidP="00CA4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TAK – 5 PKT </w:t>
            </w:r>
          </w:p>
          <w:p w14:paraId="41632BFB" w14:textId="5FDA6ECD" w:rsidR="00DA0A72" w:rsidRPr="007A4065" w:rsidRDefault="00CA4F91" w:rsidP="00CA4F91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49BC472B" w14:textId="61D21F3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8"/>
      <w:tr w:rsidR="004F7D22" w:rsidRPr="002D7939" w14:paraId="355777EE" w14:textId="77777777" w:rsidTr="003E4CB8">
        <w:trPr>
          <w:trHeight w:val="17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45402" w14:textId="745D2E83" w:rsidR="004F7D22" w:rsidRPr="002D7939" w:rsidRDefault="003E3416" w:rsidP="003E3416">
            <w:pPr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XII</w:t>
            </w:r>
          </w:p>
        </w:tc>
        <w:tc>
          <w:tcPr>
            <w:tcW w:w="10632" w:type="dxa"/>
            <w:gridSpan w:val="3"/>
            <w:shd w:val="clear" w:color="auto" w:fill="FFFFFF" w:themeFill="background1"/>
            <w:vAlign w:val="center"/>
          </w:tcPr>
          <w:p w14:paraId="5A8EDA3F" w14:textId="5B510BFB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Monitorowane parametry i funkcjonalności</w:t>
            </w:r>
          </w:p>
        </w:tc>
      </w:tr>
      <w:tr w:rsidR="004F7D22" w:rsidRPr="002D7939" w14:paraId="5417950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7A0C584" w14:textId="064C66B9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bookmarkStart w:id="9" w:name="_Hlk148442181"/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XIII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1BFD00E2" w14:textId="3858A5AC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EKG</w:t>
            </w:r>
          </w:p>
        </w:tc>
      </w:tr>
      <w:tr w:rsidR="003C201B" w:rsidRPr="002D7939" w14:paraId="009CDD0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7BCE67E" w14:textId="060C8F8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10" w:name="_Hlk148442172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250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Monitorowanie przynajmniej 1 z 3, 7 i 12 odprowadzeń, z jakością diagnostyczną, w zależności od użytego przewodu EKG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11CD1" w14:textId="77777777" w:rsidR="00DA0A72" w:rsidRPr="007A4065" w:rsidRDefault="00DA0A72" w:rsidP="00DA0A72">
            <w:pPr>
              <w:spacing w:after="0" w:line="240" w:lineRule="auto"/>
              <w:ind w:right="2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80706CE" w14:textId="7A3B539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5C2B8D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CD77D34" w14:textId="2AEA73AD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B07D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monitorowania 12 odprowadzeń EKG metodą obliczeniową, z ograniczonej liczby elektrod (nie więcej niż 6). Algorytm pomiarowy wykorzystuje standardowe rozmieszczenie elektrod na ciele pacjenta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78654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1F406DD8" w14:textId="5102BB65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8E5073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A38B6AB" w14:textId="7F647A9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46CF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Jednoczesna prezentacja przynajmniej 3 odprowadzeń EKG na ekranie głównym kardiomonitora (bez wykorzystania okna 12 odprowadzeń EKG): 3 różne odprowadzenia lub widok kaskady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49445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531572E1" w14:textId="70DBEF2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73F898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551BA65" w14:textId="4CBF6B9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753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jednoczesnej prezentacji wszystkich 12 odprowadzeń EKG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534CA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6AD0903" w14:textId="40718BD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E53F08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B8C379E" w14:textId="668F420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82F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częstości akcji serca w zakresie min. 20 - 300 ud/min.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3EE8A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72B9730" w14:textId="5F0FBD8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F72489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53FD1C0" w14:textId="20E47C3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E70B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przewód do podłączenia 6- elektrod dla dorosłych i dzieci. Długość przewodów łączących monitor z pacjentem przynajmniej 4m.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6FEA2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38BFC195" w14:textId="79E7DEB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57D3E3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E56E1E7" w14:textId="787DAE2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451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Analiza arytmii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6BF5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B25D585" w14:textId="4F588639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D1CB51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0C870DD" w14:textId="08900C0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A08E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Analiza arytmii w 2 odprowadzeniach EKG jednocześnie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2525C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120B788F" w14:textId="12220DE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476D8E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15BA3C6" w14:textId="19294E6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69EC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Podstawowa analiza arytmii tzw. śmiertelnych. Możliwość rozbudowy monitora o funkcję zaawansowanej analizy arytmii wg przynajmniej 13 definicji.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6D6F8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9372AEE" w14:textId="3F7C1E8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2D7939" w14:paraId="7FD6238A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E6B2992" w14:textId="25C158A6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bookmarkStart w:id="11" w:name="_Hlk148442224"/>
            <w:bookmarkEnd w:id="9"/>
            <w:bookmarkEnd w:id="10"/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XIV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3AA8FBF1" w14:textId="1DB62648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Analiza ST</w:t>
            </w:r>
          </w:p>
        </w:tc>
      </w:tr>
      <w:tr w:rsidR="003C201B" w:rsidRPr="002D7939" w14:paraId="6C4CEE6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51E60EA" w14:textId="2C9039D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12" w:name="_Hlk148442220"/>
            <w:bookmarkEnd w:id="11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CD8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Analiza odcinka ST ze wszystkich monitorowanych odprowadzeń (do 12)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233D8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3D06204" w14:textId="03EE0E5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F6EA30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E637D33" w14:textId="3407034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6F0F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Analiza prowadzona automatycznie z zapisywaniem wyników w pamięci trendów. Funkcja ręcznego ustawienia poziomu ISO oraz ST z funkcją zapisu pomiarów referencyjnych.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6C244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DF9B3AB" w14:textId="5EA905A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809454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272145A" w14:textId="0C16B54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3601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Zakres pomiarowy analizy odcinka ST min. -15,0 (+) 15,0 mm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A3051" w14:textId="77777777" w:rsidR="00DA0A72" w:rsidRPr="007A4065" w:rsidRDefault="00DA0A72" w:rsidP="00DA0A72">
            <w:pPr>
              <w:spacing w:after="0" w:line="240" w:lineRule="auto"/>
              <w:ind w:right="28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439CA0D" w14:textId="154AE70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B0F933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6B314CD" w14:textId="5E346A5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1C0D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i wyświetlenie na ekranie monitora wartości QT i/lub QTc. Dopuszcza się ręczny pomiar, przez zewnętrzną aplikację, uruchamianą na ekranie kardiomonitora - ujęte w ofercie.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E91DB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18ED1A1D" w14:textId="758CFD8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FD8951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F8F8629" w14:textId="7777777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C34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i opisowa analiza EKG spoczynkowego z 12-odprowadzeń. Analiza EKG dostępna bezpośrednio w 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monitorze pacjenta, zawierająca kryteria specyficzne dla danej płci i wieku oraz narzędzie do niezależnej czasowo predykcji ostrego niedokrwienia serca (ACI-TIPI), z możliwością zgłaszania bólu w klatce piersiowej, eksportu pomiarów w jakości diagnostycznej (raw-data) do zewnętrznego systemu analizy EKG tego samego producenta, umożliwiającego automatyczną i ręczną opisową analizę EKG, z możliwością zwrotnego wyświetlania raportów z analizy na ekranie kardiomonitora i wykonywaniem seryjnej analizy porównawczej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2B30A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  <w:p w14:paraId="115B7993" w14:textId="77777777" w:rsidR="00DA0A72" w:rsidRPr="007A4065" w:rsidRDefault="00DA0A72" w:rsidP="00DA0A72">
            <w:pPr>
              <w:spacing w:after="0" w:line="240" w:lineRule="auto"/>
              <w:ind w:right="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10EC99E5" w14:textId="3CE83BE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2D7939" w14:paraId="63E4591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2DCAEAF" w14:textId="25224C42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bookmarkStart w:id="13" w:name="_Hlk148442262"/>
            <w:bookmarkStart w:id="14" w:name="_Hlk148442253"/>
            <w:bookmarkStart w:id="15" w:name="_Hlk148442237"/>
            <w:bookmarkEnd w:id="12"/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 XV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4ABA3086" w14:textId="7DAF43CA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Oddech</w:t>
            </w:r>
          </w:p>
        </w:tc>
      </w:tr>
      <w:tr w:rsidR="003C201B" w:rsidRPr="002D7939" w14:paraId="77EE56D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A3BEF4D" w14:textId="28847FD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2C2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częstości oddechu metodą impedancyjną w zakresie min. 4-120 odd/min.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36D99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732F481C" w14:textId="1930FD8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EE6BAE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D86CCA1" w14:textId="7E28765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F17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częstości oddechu oraz krzywej oddechowej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025D1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D396BBA" w14:textId="077B45B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E3547E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49C0A68" w14:textId="7150429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7E1E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Saturacja (SpO2)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1C4D0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6B30E37" w14:textId="1F2F3CC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3626E80" w14:textId="77777777" w:rsidTr="003E4CB8">
        <w:trPr>
          <w:trHeight w:val="734"/>
        </w:trPr>
        <w:tc>
          <w:tcPr>
            <w:tcW w:w="993" w:type="dxa"/>
            <w:shd w:val="clear" w:color="auto" w:fill="FFFFFF" w:themeFill="background1"/>
            <w:vAlign w:val="center"/>
          </w:tcPr>
          <w:p w14:paraId="6D13F607" w14:textId="2F177F30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629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wysycenia hemoglobiny tlenem, z wykorzystaniem algorytmu odpornego na niską </w:t>
            </w:r>
          </w:p>
          <w:p w14:paraId="6F1CA14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perfuzję i artefakty ruchowe: TruSignal lub Masimo Rainbow SET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50980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58E4FA48" w14:textId="723A6A7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A6FDBA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236163E" w14:textId="3377104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180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saturacji w zakresie min. 70-100%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6D4E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FC0970E" w14:textId="4613337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95CD1C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049D71B" w14:textId="79B95F3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E6F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wartości saturacji, krzywej pletyzmograficznej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1BE56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C0510A7" w14:textId="69AA4D25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993C04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8E8838E" w14:textId="5785D95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A44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wyboru SPO2 jako źródła częstości rytmu serca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9C210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3F7DD651" w14:textId="455E7A61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4F2C7D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44488B7" w14:textId="44F049F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7FF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Modulacja dźwięku tętna przy zmianie wartości % SpO2.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20183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429DC3D" w14:textId="5489B15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44F3E04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0E90EA6" w14:textId="515203E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A8E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przewód podłączeniowy dł. min. 3 m oraz wielorazowy, elastyczny, czujnik na palec dla dorosłych, dzieci. Czujnik saturacji na ucho. Oryginalne akcesoria pomiarowe producenta algorytmu pomiarowego.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2B0E1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57F74A8D" w14:textId="4164D86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152193" w14:paraId="76CB4B6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AF01AEC" w14:textId="6545728F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 XVI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510CE573" w14:textId="67CB356A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Pomiar ciśnienia metodą nieinwazyjną (NIBP)</w:t>
            </w:r>
          </w:p>
        </w:tc>
      </w:tr>
      <w:tr w:rsidR="003C201B" w:rsidRPr="002D7939" w14:paraId="4BC052A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018E4CA" w14:textId="59D34F9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1E1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metodą oscylometryczną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4D97A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CE15680" w14:textId="1CE9BAD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6F5930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C2EB412" w14:textId="1AA1885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D84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ręczny na żądanie, ciągły przez określony czas oraz automatyczny. Zakres przedziałów czasowych w trybie automatycznym przynajmniej 1 - 240 minut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AF48E" w14:textId="77777777" w:rsidR="00DA0A72" w:rsidRPr="007A4065" w:rsidRDefault="00DA0A72" w:rsidP="00DA0A72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033EB014" w14:textId="4DB21F9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6158B9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6157FDB" w14:textId="41F8FADA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16" w:name="_Hlk148442444"/>
            <w:bookmarkEnd w:id="13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6D40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w zakresie przynajmniej od 15 mmHg dla ciśnienia rozkurczowego do 250 mmHg dla ciśnienia skurczowego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08708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E9CF2A5" w14:textId="673DA41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5E020C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53981B9B" w14:textId="07BC575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7F2A9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Prezentacja wartości: skurczowej, rozkurczowej oraz średniej.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4FFB4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4257302E" w14:textId="42CDAFA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BED383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255C0B1" w14:textId="5F6F456C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E16B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wężyk z szybkozłączką dla dorosłych/dzieci oraz 3 mankiety wielorazowe dla dorosłych (w 3 różnych rozmiarach) i dzieci. Dodatkowo na całą instalację 20 szt. mankietów dla pacjentów otyłych.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9A70B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18E10799" w14:textId="67D929B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1B222F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691B82C" w14:textId="4AC72F8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339F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Algorytm pomiarowy wykorzystuje dwutubowy systemem wężyków i mankietów, skokową deflację, odporny na zakłócenia, artefakty i niemiarową akcję serca, skraca czas pomiarów przez wstępne pompowanie mankietu do wartości 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>bezpośrednio powyżej ostatnio zmierzonej wartości ciśnienia skurczowego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48AD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TAK – 5 PKT </w:t>
            </w:r>
          </w:p>
          <w:p w14:paraId="76E290BD" w14:textId="0BAFE4A6" w:rsidR="00DA0A72" w:rsidRPr="007A4065" w:rsidRDefault="0033645B" w:rsidP="0033645B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44B7FEAE" w14:textId="1122D96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CA52601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9F34734" w14:textId="5676379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4C9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Mankiety dla pacjentów otyłych stożkowe, dedykowane i walidowane do pomiaru na przedramieniu. Min. 5 szt. na aparat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C873F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– 5 PKT </w:t>
            </w:r>
          </w:p>
          <w:p w14:paraId="612A0742" w14:textId="6A3D4C48" w:rsidR="00DA0A72" w:rsidRPr="007A4065" w:rsidRDefault="0033645B" w:rsidP="0033645B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03083350" w14:textId="00FA2E0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2D7939" w14:paraId="23EE615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6AFD912" w14:textId="6FAC9579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XVII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2CDFE203" w14:textId="42D8E637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Temperatura</w:t>
            </w:r>
          </w:p>
        </w:tc>
      </w:tr>
      <w:tr w:rsidR="003C201B" w:rsidRPr="002D7939" w14:paraId="75AA67B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B17F3D6" w14:textId="695A2FF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0DF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temperatury w 2 kanałach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DAF0A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44E29E7" w14:textId="57C1EB3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FFDFF8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558FD58" w14:textId="43EED8B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BDF2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Jednoczesna prezentacja w polu parametru temperatury na ekranie głównym monitora stacjonarnego min. 3 wartości temperatury jednocześnie: obu zmierzonych oraz różnicy temperatur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DA2C2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150445FF" w14:textId="456A045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A60944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E40F194" w14:textId="3CFDCBD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0873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wielorazowy czujnik temperatury skóry dla dorosłych i dzieci oraz czujnik temperatury głębokiej.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F4721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shd w:val="clear" w:color="auto" w:fill="FFFFFF" w:themeFill="background1"/>
          </w:tcPr>
          <w:p w14:paraId="57816730" w14:textId="0F34A3B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152193" w14:paraId="1357FB7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6241FBD" w14:textId="1790499E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XVIII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76A782F5" w14:textId="24D94D50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Pomiar ciśnienia metodą inwazyjną (IBP)</w:t>
            </w:r>
            <w:r w:rsidR="00152193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 xml:space="preserve"> – typ </w:t>
            </w:r>
            <w:r w:rsidR="00152193" w:rsidRPr="00152193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przetworników krwawego ciśnienia</w:t>
            </w:r>
            <w:r w:rsidR="00152193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 xml:space="preserve"> ABBOT</w:t>
            </w:r>
          </w:p>
        </w:tc>
      </w:tr>
      <w:tr w:rsidR="003C201B" w:rsidRPr="002D7939" w14:paraId="480C965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1571E36" w14:textId="5D545DF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EBB8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metodą inwazyjną w co najmniej 2 kanałach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4569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C51C558" w14:textId="3A790FA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CF911A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5EF5C19" w14:textId="08A5ECB5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CE72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ciśnienia w zakresie przynajmniej -20 do 320 mmHg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D76C1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40A249E1" w14:textId="515B6A8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FBE96EC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A2645F9" w14:textId="607687A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73E4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monitorowania i wyboru nazw różnych ciśnień, w tym ciśnienia śródczaszkowego, wraz z automatycznym doborem skali i ustawień dla poszczególnych ciśnień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D9F1D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62090981" w14:textId="3B13124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70BB10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1DB09548" w14:textId="3E3F492B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BB1D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PPV lub SPV ręczny, w dedykowanej zakładce lub automatyczny, ciągły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15D6A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780B5D6A" w14:textId="65B178C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064E33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6934DC2" w14:textId="1CE6CA3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DAC1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 przewody do podłączenia przetworników ciśnienia (po jednym na każdy oferowany kanał)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D855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28967DCD" w14:textId="6473203D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A0EF9BC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96C6761" w14:textId="5CE97B4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BDE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Funkcja pomiaru i jednoczesnej prezentacji na ekranie głównym kardiomonitora parametrów PPV i SPV automatycznie, z wybranego kanału ciśnienia.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1503D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– 5 PKT </w:t>
            </w:r>
          </w:p>
          <w:p w14:paraId="696FC2DF" w14:textId="2C900B3A" w:rsidR="00DA0A72" w:rsidRPr="007A4065" w:rsidRDefault="0033645B" w:rsidP="0033645B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7256E15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2D7939" w14:paraId="1AE8D8E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B8F46FC" w14:textId="4A4B6664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  XIX</w:t>
            </w:r>
          </w:p>
        </w:tc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B61EE" w14:textId="2E1B77A2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 xml:space="preserve">Pomiar zwiotczenia mięśni (NMT) </w:t>
            </w:r>
          </w:p>
        </w:tc>
      </w:tr>
      <w:tr w:rsidR="003C201B" w:rsidRPr="002D7939" w14:paraId="3A7B725F" w14:textId="77777777" w:rsidTr="00622645">
        <w:trPr>
          <w:trHeight w:val="393"/>
        </w:trPr>
        <w:tc>
          <w:tcPr>
            <w:tcW w:w="993" w:type="dxa"/>
            <w:shd w:val="clear" w:color="auto" w:fill="FFFFFF" w:themeFill="background1"/>
            <w:vAlign w:val="center"/>
          </w:tcPr>
          <w:p w14:paraId="71D5EFE7" w14:textId="010F7D1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76E4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Dostępne tryby stymulacji min.: ST, DBS, TET, ToF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D9FA" w14:textId="77777777" w:rsidR="00DA0A72" w:rsidRPr="007A4065" w:rsidRDefault="00DA0A72" w:rsidP="00DA0A72">
            <w:pPr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2525E97F" w14:textId="774003F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9E2A41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CDF7A0F" w14:textId="4A3E2568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17" w:name="_Hlk148445231"/>
            <w:bookmarkEnd w:id="16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593C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E06B8" w14:textId="77777777" w:rsidR="00DA0A72" w:rsidRPr="007A4065" w:rsidRDefault="00DA0A72" w:rsidP="00DA0A72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025EC2F" w14:textId="42900F5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C555E02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6BCBD3F" w14:textId="4D2DE90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060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przewód i czujnik do stosowania na dłoni  (dla pacjentów dorosłych i pediatrycznych) oraz min. </w:t>
            </w:r>
          </w:p>
          <w:p w14:paraId="58B458C3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30 elektrod do stymulacji lub czujnik wykorzystujący stymulację nerwu łokciowego, przeznaczonego do 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stosowania na kończynach górnych oraz min. 30 elektrod do stymulacji. W przypadku urządzenia zewnętrznego w komplecie: 2-przegubowy uchwyt montażowy zapewniający bezpieczne mocowanie na stanowisku pacjenta oraz zestaw przewodów do podłączenia urządzenia do kardiomonitora.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E091C" w14:textId="77777777" w:rsidR="00DA0A72" w:rsidRPr="007A4065" w:rsidRDefault="00DA0A72" w:rsidP="00DA0A7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lastRenderedPageBreak/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7F62CCBD" w14:textId="2BA96E20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7D22" w:rsidRPr="002D7939" w14:paraId="0B0AFD26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2042335" w14:textId="059D4871" w:rsidR="004F7D22" w:rsidRPr="002D7939" w:rsidRDefault="003E3416" w:rsidP="003E3416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  XX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629F0EE3" w14:textId="7876F6AB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Pomiar głębokości uśpienia</w:t>
            </w:r>
          </w:p>
        </w:tc>
      </w:tr>
      <w:tr w:rsidR="003C201B" w:rsidRPr="002D7939" w14:paraId="6173FEB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F9E56BF" w14:textId="3FD66CA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2C33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głębokości uśpienia metodą Entropii lub BIS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7E90D" w14:textId="77777777" w:rsidR="00DA0A72" w:rsidRPr="007A4065" w:rsidRDefault="00DA0A72" w:rsidP="00DA0A7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shd w:val="clear" w:color="auto" w:fill="FFFFFF" w:themeFill="background1"/>
          </w:tcPr>
          <w:p w14:paraId="767AD616" w14:textId="7A944BD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C687873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A0025C6" w14:textId="201436D7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EE9A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6357" w14:textId="77777777" w:rsidR="00DA0A72" w:rsidRPr="007A4065" w:rsidRDefault="00DA0A72" w:rsidP="00DA0A7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1DD05563" w14:textId="262DFBE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4B25B2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EE1CA8A" w14:textId="4288919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E627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przewód pośredni i min. 25 czujników. W przypadku urządzenia zewnętrznego w komplecie 2przegubowy uchwyt montażowy zapewniający bezpieczne mocowanie na stanowisku pacjenta oraz zestaw przewodów do podłączenia urządzenia do kardiomonitora.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2DBA" w14:textId="77777777" w:rsidR="00DA0A72" w:rsidRPr="007A4065" w:rsidRDefault="00DA0A72" w:rsidP="00DA0A7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0A83FDF5" w14:textId="4D25985F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E3416" w:rsidRPr="002D7939" w14:paraId="2099F1DB" w14:textId="77777777" w:rsidTr="003E4CB8">
        <w:trPr>
          <w:trHeight w:val="667"/>
        </w:trPr>
        <w:tc>
          <w:tcPr>
            <w:tcW w:w="9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A8EA695" w14:textId="77777777" w:rsidR="003E3416" w:rsidRPr="002D7939" w:rsidRDefault="003E3416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99FA2" w14:textId="0E2E4AD0" w:rsidR="003E3416" w:rsidRPr="002D7939" w:rsidRDefault="003E3416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realizowany przez analizę sygnału EEG, wspomaganego pomiarem elektromiografii mięśni czoła, z obliczaniem parametrów SE, RE i BSR.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DED49" w14:textId="0FEC36E9" w:rsidR="003E3416" w:rsidRPr="002D7939" w:rsidRDefault="003E3416" w:rsidP="00DA0A72">
            <w:pPr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TAK</w:t>
            </w:r>
          </w:p>
        </w:tc>
        <w:tc>
          <w:tcPr>
            <w:tcW w:w="361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4D4BE6A" w14:textId="77777777" w:rsidR="003E3416" w:rsidRPr="002D7939" w:rsidRDefault="003E3416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D70294" w:rsidRPr="002D7939" w14:paraId="3665A2FA" w14:textId="77777777" w:rsidTr="003E4CB8">
        <w:trPr>
          <w:trHeight w:val="227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6A7C1A" w14:textId="2659300C" w:rsidR="00D70294" w:rsidRPr="002D7939" w:rsidRDefault="00D70294" w:rsidP="00D70294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XXI</w:t>
            </w:r>
          </w:p>
        </w:tc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0332D82" w14:textId="6E3DFCF2" w:rsidR="00D70294" w:rsidRPr="007A4065" w:rsidRDefault="00D70294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Pomiar poziomu analgezji</w:t>
            </w:r>
          </w:p>
        </w:tc>
      </w:tr>
      <w:tr w:rsidR="003E3416" w:rsidRPr="002D7939" w14:paraId="524031E7" w14:textId="77777777" w:rsidTr="003E4CB8">
        <w:trPr>
          <w:trHeight w:val="840"/>
        </w:trPr>
        <w:tc>
          <w:tcPr>
            <w:tcW w:w="9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52F4B27" w14:textId="77777777" w:rsidR="003E3416" w:rsidRPr="002D7939" w:rsidRDefault="003E3416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30B62" w14:textId="12725D6C" w:rsidR="003E3416" w:rsidRPr="002D7939" w:rsidRDefault="003E3416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Pomiar poziomu analgezji (zwalidowany u pacjentów min. od 18 roku życia ) przez ciągłe monitorowanie reakcji hemodynamicznej pacjenta na bodźce nocyceptywne i środki przeciwbólowe metodą SPI lub ANI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87DF4" w14:textId="4810A16D" w:rsidR="003E3416" w:rsidRPr="002D7939" w:rsidRDefault="003E3416" w:rsidP="003E3416">
            <w:pPr>
              <w:spacing w:after="0" w:line="240" w:lineRule="auto"/>
              <w:ind w:right="15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</w:p>
        </w:tc>
        <w:tc>
          <w:tcPr>
            <w:tcW w:w="361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CC4BAD3" w14:textId="77777777" w:rsidR="003E3416" w:rsidRPr="002D7939" w:rsidRDefault="003E3416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140FA03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42A26FC" w14:textId="1108D93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8D68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B8C00" w14:textId="77777777" w:rsidR="00DA0A72" w:rsidRPr="007A4065" w:rsidRDefault="00DA0A72" w:rsidP="00DA0A72">
            <w:pPr>
              <w:spacing w:after="0" w:line="240" w:lineRule="auto"/>
              <w:ind w:right="14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6F51113F" w14:textId="52DAE675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B6063A5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681DE82" w14:textId="1B8198D4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DF1E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W komplecie do każdego monitora: zestaw akcesoriów umożliwiający pomiar u min. 300 pacjentów. W przypadku urządzenia zewnętrznego w komplecie 2-przegubowy uchwyt montażowy zapewniający bezpieczne mocowanie na stanowisku pacjenta.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95D17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1B7C51F2" w14:textId="32C7FA3C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55CF24DB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BDB634C" w14:textId="55D0B6E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D107B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W celu ograniczenia kosztów, pomiar analgezji z wykorzystaniem czujnika saturacji oferowanego kardiomonitora bez konieczności stosowania akcesoriów jednorazowych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343C2" w14:textId="77777777" w:rsidR="0033645B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– 5 PKT </w:t>
            </w:r>
          </w:p>
          <w:p w14:paraId="2AEE2F87" w14:textId="3FDB35C1" w:rsidR="00DA0A72" w:rsidRPr="007A4065" w:rsidRDefault="0033645B" w:rsidP="0033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>NIE – 0 PKT</w:t>
            </w:r>
          </w:p>
        </w:tc>
        <w:tc>
          <w:tcPr>
            <w:tcW w:w="3616" w:type="dxa"/>
            <w:shd w:val="clear" w:color="auto" w:fill="FFFFFF" w:themeFill="background1"/>
          </w:tcPr>
          <w:p w14:paraId="7F7F683F" w14:textId="3CD7A092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14"/>
      <w:bookmarkEnd w:id="17"/>
      <w:tr w:rsidR="004F7D22" w:rsidRPr="002D7939" w14:paraId="4B8BD9DF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6C5DC06" w14:textId="17290063" w:rsidR="004F7D22" w:rsidRPr="002D7939" w:rsidRDefault="00D70294" w:rsidP="00D70294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XXII</w:t>
            </w:r>
          </w:p>
        </w:tc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83561F" w14:textId="659D99A0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Alarmy</w:t>
            </w:r>
          </w:p>
        </w:tc>
      </w:tr>
      <w:tr w:rsidR="003C201B" w:rsidRPr="002D7939" w14:paraId="7DB7914E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F322E75" w14:textId="78A5B86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18" w:name="_Hlk148445327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E4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Alarmy przynajmniej 3-stopniowe, sygnalizowane wizualnie i dźwiękowo, z wizualizacją parametru, który wywołał alarm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A8AF9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bookmarkStart w:id="19" w:name="OLE_LINK133"/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  <w:bookmarkEnd w:id="19"/>
          </w:p>
        </w:tc>
        <w:tc>
          <w:tcPr>
            <w:tcW w:w="3616" w:type="dxa"/>
            <w:shd w:val="clear" w:color="auto" w:fill="FFFFFF" w:themeFill="background1"/>
          </w:tcPr>
          <w:p w14:paraId="2BBFF21A" w14:textId="3D809633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69F2F5D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64E5094" w14:textId="08A00F81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FF55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zmiany priorytetu alarmów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110E2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7E8C5DAF" w14:textId="090EF51A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0B3EEDB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8CD147D" w14:textId="7F7F7172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7D6C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Alarmy techniczne z podaniem przyczyny.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6232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FF9BFC6" w14:textId="1DDDA05E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978A57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083256B5" w14:textId="57301B59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50D56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Granice alarmowe regulowane ręcznie - przez użytkownika, i automatycznie (na żądanie) - na podstawie bieżących wartości parametrów.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D5CD5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07CA5DAF" w14:textId="5A5DF948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8631A60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24719EFA" w14:textId="6B9605C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AC5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wyciszenia alarmów. Regulacja czasu wyciszenia alarmów w zakresie przynajmniej: 2 i 5 minut oraz bez limitu czasowego.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B94EA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2FF54C0" w14:textId="623135C4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39474AFD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CF7996E" w14:textId="75680146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18E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Możliwość zablokowania funkcji całkowitego wyłączenia bądź wyciszenia alarmów - zabezpieczona hasłem.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55CC2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5F7F7F66" w14:textId="14E88EA6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21A83A34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7F14AB11" w14:textId="3205C8F3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9F3D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Monitor wyposażony w pamięć przynajmniej 150 zdarzeń alarmowych zawierających wycinki krzywych dynamicznych. Zdarzenia zapisywane automatycznie - w chwili wystąpienia zdarzenia alarmowego, a także ręcznie - po naciśnięciu odpowiedniego przycisku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0CEEF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2D5B4664" w14:textId="38B5461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18"/>
      <w:tr w:rsidR="004F7D22" w:rsidRPr="002D7939" w14:paraId="3B4BE268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4DCDA87E" w14:textId="3007C6AC" w:rsidR="004F7D22" w:rsidRPr="002D7939" w:rsidRDefault="00D70294" w:rsidP="00D70294">
            <w:pPr>
              <w:rPr>
                <w:rFonts w:ascii="Times New Roman" w:hAnsi="Times New Roman" w:cs="Times New Roman"/>
                <w:b/>
                <w:bCs/>
              </w:rPr>
            </w:pPr>
            <w:r w:rsidRPr="002D7939">
              <w:rPr>
                <w:rFonts w:ascii="Times New Roman" w:hAnsi="Times New Roman" w:cs="Times New Roman"/>
                <w:b/>
                <w:bCs/>
              </w:rPr>
              <w:t xml:space="preserve">       XIII</w:t>
            </w:r>
          </w:p>
        </w:tc>
        <w:tc>
          <w:tcPr>
            <w:tcW w:w="10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vAlign w:val="center"/>
          </w:tcPr>
          <w:p w14:paraId="7F715EB9" w14:textId="1400B6A5" w:rsidR="004F7D22" w:rsidRPr="007A4065" w:rsidRDefault="004F7D2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b/>
                <w:bCs/>
                <w:lang w:val="pl-PL" w:eastAsia="pl-PL"/>
              </w:rPr>
              <w:t>Trendy</w:t>
            </w:r>
          </w:p>
        </w:tc>
      </w:tr>
      <w:tr w:rsidR="003C201B" w:rsidRPr="002D7939" w14:paraId="5C22AD19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69398BB7" w14:textId="0ECE11BF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bookmarkStart w:id="20" w:name="_Hlk148445384"/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1E6D0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Stanowisko monitorowania pacjenta wyposażone w pamięć trendów z ostatnich min. 24 godzin z rozdzielczością 1-minutową. Możliwość programowej rozbudowy pamięci trendów do min. 72 godzin.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092A7" w14:textId="77777777" w:rsidR="00DA0A72" w:rsidRPr="007A4065" w:rsidRDefault="00DA0A72" w:rsidP="00DA0A72">
            <w:pPr>
              <w:spacing w:after="0" w:line="240" w:lineRule="auto"/>
              <w:ind w:right="17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TAK, </w:t>
            </w:r>
            <w:r w:rsidRPr="00622645">
              <w:rPr>
                <w:rFonts w:ascii="Times New Roman" w:eastAsia="Times New Roman" w:hAnsi="Times New Roman" w:cs="Times New Roman"/>
                <w:u w:val="single"/>
                <w:lang w:val="pl-PL" w:eastAsia="pl-PL"/>
              </w:rPr>
              <w:t>podać</w:t>
            </w: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 </w:t>
            </w:r>
          </w:p>
        </w:tc>
        <w:tc>
          <w:tcPr>
            <w:tcW w:w="3616" w:type="dxa"/>
            <w:shd w:val="clear" w:color="auto" w:fill="FFFFFF" w:themeFill="background1"/>
          </w:tcPr>
          <w:p w14:paraId="5CF27295" w14:textId="7688E475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3C201B" w:rsidRPr="002D7939" w14:paraId="7F894977" w14:textId="77777777" w:rsidTr="003E4CB8">
        <w:trPr>
          <w:trHeight w:val="170"/>
        </w:trPr>
        <w:tc>
          <w:tcPr>
            <w:tcW w:w="993" w:type="dxa"/>
            <w:shd w:val="clear" w:color="auto" w:fill="FFFFFF" w:themeFill="background1"/>
            <w:vAlign w:val="center"/>
          </w:tcPr>
          <w:p w14:paraId="3957724C" w14:textId="128B8ACE" w:rsidR="00DA0A72" w:rsidRPr="002D7939" w:rsidRDefault="00DA0A72">
            <w:pPr>
              <w:pStyle w:val="Akapitzlis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9BC2" w14:textId="77777777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Funkcja wyświetlania trendów w formie graficznej i tabelarycznej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C4CA0" w14:textId="77777777" w:rsidR="00DA0A72" w:rsidRPr="007A4065" w:rsidRDefault="00DA0A72" w:rsidP="00DA0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7A4065">
              <w:rPr>
                <w:rFonts w:ascii="Times New Roman" w:eastAsia="Times New Roman" w:hAnsi="Times New Roman" w:cs="Times New Roman"/>
                <w:lang w:val="pl-PL" w:eastAsia="pl-PL"/>
              </w:rPr>
              <w:t xml:space="preserve">TAK </w:t>
            </w:r>
          </w:p>
        </w:tc>
        <w:tc>
          <w:tcPr>
            <w:tcW w:w="3616" w:type="dxa"/>
            <w:shd w:val="clear" w:color="auto" w:fill="FFFFFF" w:themeFill="background1"/>
          </w:tcPr>
          <w:p w14:paraId="4BEDDECD" w14:textId="7CB14DCB" w:rsidR="00DA0A72" w:rsidRPr="007A4065" w:rsidRDefault="00DA0A72" w:rsidP="00DA0A72">
            <w:pPr>
              <w:spacing w:after="0" w:line="240" w:lineRule="auto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bookmarkEnd w:id="15"/>
      <w:bookmarkEnd w:id="20"/>
    </w:tbl>
    <w:p w14:paraId="2B783EB8" w14:textId="77777777" w:rsidR="00C57E87" w:rsidRDefault="00C57E87">
      <w:pPr>
        <w:rPr>
          <w:rFonts w:ascii="Times New Roman" w:hAnsi="Times New Roman" w:cs="Times New Roman"/>
        </w:rPr>
      </w:pPr>
    </w:p>
    <w:p w14:paraId="40925C01" w14:textId="7AD3C4AB" w:rsidR="00622645" w:rsidRPr="00622645" w:rsidRDefault="00622645" w:rsidP="00622645">
      <w:pPr>
        <w:rPr>
          <w:lang w:val="pl-PL"/>
        </w:rPr>
      </w:pPr>
      <w:r w:rsidRPr="00622645">
        <w:rPr>
          <w:lang w:val="pl-PL"/>
        </w:rPr>
        <w:t>OFERTA POWINNA ZAWIERAĆ</w:t>
      </w:r>
      <w:r w:rsidR="006E3A73">
        <w:rPr>
          <w:lang w:val="pl-PL"/>
        </w:rPr>
        <w:t>:</w:t>
      </w:r>
    </w:p>
    <w:tbl>
      <w:tblPr>
        <w:tblStyle w:val="Tabela-Siatka8"/>
        <w:tblW w:w="11194" w:type="dxa"/>
        <w:tblLook w:val="04A0" w:firstRow="1" w:lastRow="0" w:firstColumn="1" w:lastColumn="0" w:noHBand="0" w:noVBand="1"/>
      </w:tblPr>
      <w:tblGrid>
        <w:gridCol w:w="550"/>
        <w:gridCol w:w="2015"/>
        <w:gridCol w:w="1194"/>
        <w:gridCol w:w="1364"/>
        <w:gridCol w:w="1259"/>
        <w:gridCol w:w="1364"/>
        <w:gridCol w:w="687"/>
        <w:gridCol w:w="1114"/>
        <w:gridCol w:w="1647"/>
      </w:tblGrid>
      <w:tr w:rsidR="00622645" w:rsidRPr="00622645" w14:paraId="41B24DC3" w14:textId="77777777" w:rsidTr="00622645">
        <w:tc>
          <w:tcPr>
            <w:tcW w:w="557" w:type="dxa"/>
          </w:tcPr>
          <w:p w14:paraId="49E05F04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Lp.</w:t>
            </w:r>
          </w:p>
        </w:tc>
        <w:tc>
          <w:tcPr>
            <w:tcW w:w="2051" w:type="dxa"/>
          </w:tcPr>
          <w:p w14:paraId="3FA9EF53" w14:textId="15E95BAF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Nazwa przedmiotu</w:t>
            </w:r>
            <w:r>
              <w:rPr>
                <w:lang w:val="pl-PL"/>
              </w:rPr>
              <w:t xml:space="preserve"> zamówienia</w:t>
            </w:r>
          </w:p>
        </w:tc>
        <w:tc>
          <w:tcPr>
            <w:tcW w:w="1266" w:type="dxa"/>
          </w:tcPr>
          <w:p w14:paraId="754F18F1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 xml:space="preserve">Ilość </w:t>
            </w:r>
          </w:p>
          <w:p w14:paraId="767CD4ED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(szt.)</w:t>
            </w:r>
          </w:p>
        </w:tc>
        <w:tc>
          <w:tcPr>
            <w:tcW w:w="1364" w:type="dxa"/>
          </w:tcPr>
          <w:p w14:paraId="2E018036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Cena jednostkowa netto</w:t>
            </w:r>
          </w:p>
        </w:tc>
        <w:tc>
          <w:tcPr>
            <w:tcW w:w="1298" w:type="dxa"/>
          </w:tcPr>
          <w:p w14:paraId="0AA051B1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Wartość netto</w:t>
            </w:r>
          </w:p>
        </w:tc>
        <w:tc>
          <w:tcPr>
            <w:tcW w:w="1114" w:type="dxa"/>
          </w:tcPr>
          <w:p w14:paraId="436A9E03" w14:textId="1A7C9B78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 xml:space="preserve">Cena jednostkowa </w:t>
            </w:r>
            <w:r>
              <w:rPr>
                <w:lang w:val="pl-PL"/>
              </w:rPr>
              <w:t>brutto</w:t>
            </w:r>
          </w:p>
        </w:tc>
        <w:tc>
          <w:tcPr>
            <w:tcW w:w="709" w:type="dxa"/>
          </w:tcPr>
          <w:p w14:paraId="40376393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Vat (%)</w:t>
            </w:r>
          </w:p>
        </w:tc>
        <w:tc>
          <w:tcPr>
            <w:tcW w:w="1134" w:type="dxa"/>
          </w:tcPr>
          <w:p w14:paraId="6C3CA118" w14:textId="53A01AF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Wartość brutto</w:t>
            </w:r>
          </w:p>
        </w:tc>
        <w:tc>
          <w:tcPr>
            <w:tcW w:w="1701" w:type="dxa"/>
          </w:tcPr>
          <w:p w14:paraId="6CFD04E9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Producent / nazwa własna / nr katalogowy</w:t>
            </w:r>
          </w:p>
        </w:tc>
      </w:tr>
      <w:tr w:rsidR="00622645" w:rsidRPr="00622645" w14:paraId="505EC658" w14:textId="77777777" w:rsidTr="00622645">
        <w:tc>
          <w:tcPr>
            <w:tcW w:w="557" w:type="dxa"/>
          </w:tcPr>
          <w:p w14:paraId="705E1A10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1</w:t>
            </w:r>
          </w:p>
        </w:tc>
        <w:tc>
          <w:tcPr>
            <w:tcW w:w="2051" w:type="dxa"/>
          </w:tcPr>
          <w:p w14:paraId="651ACB0D" w14:textId="5BE29030" w:rsidR="00622645" w:rsidRPr="00622645" w:rsidRDefault="00CA3AC2" w:rsidP="00622645">
            <w:pPr>
              <w:rPr>
                <w:b/>
                <w:bCs/>
                <w:lang w:val="pl-PL"/>
              </w:rPr>
            </w:pPr>
            <w:r w:rsidRPr="00CA3AC2">
              <w:rPr>
                <w:b/>
                <w:bCs/>
                <w:lang w:val="pl-PL"/>
              </w:rPr>
              <w:t>APARAT DO ZNIECZULE</w:t>
            </w:r>
            <w:r w:rsidR="00704C71">
              <w:rPr>
                <w:b/>
                <w:bCs/>
                <w:lang w:val="pl-PL"/>
              </w:rPr>
              <w:t xml:space="preserve">NIA </w:t>
            </w:r>
            <w:r w:rsidR="00704C71">
              <w:rPr>
                <w:b/>
                <w:bCs/>
                <w:lang w:val="pl-PL"/>
              </w:rPr>
              <w:br/>
            </w:r>
            <w:r w:rsidRPr="00CA3AC2">
              <w:rPr>
                <w:b/>
                <w:bCs/>
                <w:lang w:val="pl-PL"/>
              </w:rPr>
              <w:t>Z WYPOSAŻENIEM</w:t>
            </w:r>
          </w:p>
        </w:tc>
        <w:tc>
          <w:tcPr>
            <w:tcW w:w="1266" w:type="dxa"/>
          </w:tcPr>
          <w:p w14:paraId="4FEC99A6" w14:textId="271C6419" w:rsidR="00622645" w:rsidRPr="00622645" w:rsidRDefault="00CA3AC2" w:rsidP="0062264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1364" w:type="dxa"/>
          </w:tcPr>
          <w:p w14:paraId="42CF4CAC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298" w:type="dxa"/>
          </w:tcPr>
          <w:p w14:paraId="25BD3462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14" w:type="dxa"/>
          </w:tcPr>
          <w:p w14:paraId="668F5B88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709" w:type="dxa"/>
          </w:tcPr>
          <w:p w14:paraId="616601C5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24B758A2" w14:textId="3C9CAB5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701" w:type="dxa"/>
          </w:tcPr>
          <w:p w14:paraId="28D00BBB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</w:tr>
      <w:tr w:rsidR="00622645" w:rsidRPr="00622645" w14:paraId="4218B243" w14:textId="77777777" w:rsidTr="00622645">
        <w:tc>
          <w:tcPr>
            <w:tcW w:w="557" w:type="dxa"/>
          </w:tcPr>
          <w:p w14:paraId="5EEC0DC3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2</w:t>
            </w:r>
          </w:p>
        </w:tc>
        <w:tc>
          <w:tcPr>
            <w:tcW w:w="2051" w:type="dxa"/>
          </w:tcPr>
          <w:p w14:paraId="20D8CBFB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Koszt dostawy</w:t>
            </w:r>
          </w:p>
        </w:tc>
        <w:tc>
          <w:tcPr>
            <w:tcW w:w="1266" w:type="dxa"/>
          </w:tcPr>
          <w:p w14:paraId="3816235E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457960E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298" w:type="dxa"/>
          </w:tcPr>
          <w:p w14:paraId="6F2466CF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14" w:type="dxa"/>
          </w:tcPr>
          <w:p w14:paraId="6288F73A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709" w:type="dxa"/>
          </w:tcPr>
          <w:p w14:paraId="29827A74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3B8158CB" w14:textId="5A4523FD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6C382CB9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</w:tr>
      <w:tr w:rsidR="00622645" w:rsidRPr="00622645" w14:paraId="11759AC7" w14:textId="77777777" w:rsidTr="00622645">
        <w:tc>
          <w:tcPr>
            <w:tcW w:w="557" w:type="dxa"/>
          </w:tcPr>
          <w:p w14:paraId="487B9453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3</w:t>
            </w:r>
          </w:p>
        </w:tc>
        <w:tc>
          <w:tcPr>
            <w:tcW w:w="2051" w:type="dxa"/>
          </w:tcPr>
          <w:p w14:paraId="47F601C7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Koszt zainstalowania sprzętu</w:t>
            </w:r>
          </w:p>
        </w:tc>
        <w:tc>
          <w:tcPr>
            <w:tcW w:w="1266" w:type="dxa"/>
          </w:tcPr>
          <w:p w14:paraId="43AF1007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2E06A320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298" w:type="dxa"/>
          </w:tcPr>
          <w:p w14:paraId="4FACE082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14" w:type="dxa"/>
          </w:tcPr>
          <w:p w14:paraId="362DCBEB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709" w:type="dxa"/>
          </w:tcPr>
          <w:p w14:paraId="6FB60EA9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15F4D768" w14:textId="69620065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6CF86CDF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</w:tr>
      <w:tr w:rsidR="00622645" w:rsidRPr="00622645" w14:paraId="3F4CF169" w14:textId="77777777" w:rsidTr="00622645">
        <w:tc>
          <w:tcPr>
            <w:tcW w:w="557" w:type="dxa"/>
          </w:tcPr>
          <w:p w14:paraId="67BF9031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4</w:t>
            </w:r>
          </w:p>
        </w:tc>
        <w:tc>
          <w:tcPr>
            <w:tcW w:w="2051" w:type="dxa"/>
          </w:tcPr>
          <w:p w14:paraId="3B0BA814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Koszt serwisowania sprzętu w okresie gwarancji</w:t>
            </w:r>
          </w:p>
        </w:tc>
        <w:tc>
          <w:tcPr>
            <w:tcW w:w="1266" w:type="dxa"/>
          </w:tcPr>
          <w:p w14:paraId="493BDFE8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19099C8D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298" w:type="dxa"/>
          </w:tcPr>
          <w:p w14:paraId="20C79BD3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14" w:type="dxa"/>
          </w:tcPr>
          <w:p w14:paraId="24B1B5E3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709" w:type="dxa"/>
          </w:tcPr>
          <w:p w14:paraId="2D9D53F4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509B7CD6" w14:textId="5E0CD6E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7811007F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</w:tr>
      <w:tr w:rsidR="00622645" w:rsidRPr="00622645" w14:paraId="0B4E8B7B" w14:textId="77777777" w:rsidTr="00622645">
        <w:tc>
          <w:tcPr>
            <w:tcW w:w="557" w:type="dxa"/>
          </w:tcPr>
          <w:p w14:paraId="05D62AEE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5</w:t>
            </w:r>
          </w:p>
        </w:tc>
        <w:tc>
          <w:tcPr>
            <w:tcW w:w="2051" w:type="dxa"/>
          </w:tcPr>
          <w:p w14:paraId="0439A184" w14:textId="77777777" w:rsidR="00622645" w:rsidRPr="00622645" w:rsidRDefault="00622645" w:rsidP="00622645">
            <w:pPr>
              <w:rPr>
                <w:lang w:val="pl-PL"/>
              </w:rPr>
            </w:pPr>
            <w:r w:rsidRPr="00622645">
              <w:rPr>
                <w:lang w:val="pl-PL"/>
              </w:rPr>
              <w:t>Koszt przeszkolenia personelu w zakresie obsługi sprzętu</w:t>
            </w:r>
          </w:p>
        </w:tc>
        <w:tc>
          <w:tcPr>
            <w:tcW w:w="1266" w:type="dxa"/>
          </w:tcPr>
          <w:p w14:paraId="31F5E925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1FE0004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298" w:type="dxa"/>
          </w:tcPr>
          <w:p w14:paraId="48536F8C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14" w:type="dxa"/>
          </w:tcPr>
          <w:p w14:paraId="43EB1C62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709" w:type="dxa"/>
          </w:tcPr>
          <w:p w14:paraId="3819AC55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2DACC33B" w14:textId="234F6670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57CA69ED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</w:tr>
      <w:tr w:rsidR="00622645" w:rsidRPr="00622645" w14:paraId="0D63D210" w14:textId="77777777" w:rsidTr="0062264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B41D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B2D9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0168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ACB4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RAZEM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887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634B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FC53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F251" w14:textId="77777777" w:rsidR="00622645" w:rsidRPr="00622645" w:rsidRDefault="00622645" w:rsidP="00622645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</w:tr>
    </w:tbl>
    <w:p w14:paraId="497E71F9" w14:textId="77777777" w:rsidR="00622645" w:rsidRPr="00622645" w:rsidRDefault="00622645" w:rsidP="00622645">
      <w:pPr>
        <w:rPr>
          <w:lang w:val="pl-PL"/>
        </w:rPr>
      </w:pPr>
    </w:p>
    <w:p w14:paraId="12E74636" w14:textId="77777777" w:rsidR="00622645" w:rsidRPr="00622645" w:rsidRDefault="00622645" w:rsidP="00622645">
      <w:pPr>
        <w:rPr>
          <w:u w:val="single"/>
          <w:lang w:val="pl-PL"/>
        </w:rPr>
      </w:pPr>
      <w:r w:rsidRPr="00622645">
        <w:rPr>
          <w:u w:val="single"/>
          <w:lang w:val="pl-PL"/>
        </w:rPr>
        <w:t>UWAGA: Zamawiający podaje sposób wyliczenia wartości netto i brutto:</w:t>
      </w:r>
    </w:p>
    <w:p w14:paraId="4D7D368B" w14:textId="77777777" w:rsidR="00622645" w:rsidRPr="00622645" w:rsidRDefault="00622645" w:rsidP="00622645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62264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Cena jednostkowa netto x ilość = wartość netto</w:t>
      </w:r>
    </w:p>
    <w:p w14:paraId="57A263C9" w14:textId="77777777" w:rsidR="00622645" w:rsidRPr="00622645" w:rsidRDefault="00622645" w:rsidP="00622645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62264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Wartość netto + stawka podatku Vat = wartość brutto</w:t>
      </w:r>
    </w:p>
    <w:p w14:paraId="0BDB0870" w14:textId="77777777" w:rsidR="00622645" w:rsidRPr="00622645" w:rsidRDefault="00622645" w:rsidP="00622645">
      <w:pPr>
        <w:rPr>
          <w:rFonts w:cstheme="minorHAnsi"/>
          <w:lang w:val="pl-PL"/>
        </w:rPr>
      </w:pPr>
    </w:p>
    <w:p w14:paraId="6CDF722C" w14:textId="1F61DF2C" w:rsidR="00622645" w:rsidRPr="00622645" w:rsidRDefault="00622645" w:rsidP="00622645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</w:pPr>
      <w:r w:rsidRPr="0062264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lastRenderedPageBreak/>
        <w:t xml:space="preserve">Brak wypełnienia kolumn wskazanych dla Wykonawcy </w:t>
      </w:r>
      <w:r w:rsidR="00CA3AC2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t xml:space="preserve">(tu: kolumn pustych)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t xml:space="preserve">spowoduje odrzucenie oferty na podstawie art. 226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br/>
        <w:t>ust. 1 pkt. 5 ustawy Pzp.</w:t>
      </w:r>
    </w:p>
    <w:p w14:paraId="532BF8BF" w14:textId="77777777" w:rsidR="00622645" w:rsidRPr="00622645" w:rsidRDefault="00622645" w:rsidP="006226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58F28D7A" w14:textId="77777777" w:rsidR="00622645" w:rsidRPr="00622645" w:rsidRDefault="00622645" w:rsidP="006226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6C2A7635" w14:textId="77777777" w:rsidR="00622645" w:rsidRPr="00622645" w:rsidRDefault="00622645" w:rsidP="006226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3405B6E1" w14:textId="77777777" w:rsidR="00622645" w:rsidRPr="00622645" w:rsidRDefault="00622645" w:rsidP="00622645">
      <w:pPr>
        <w:jc w:val="both"/>
        <w:rPr>
          <w:rFonts w:ascii="Calibri" w:eastAsia="Times New Roman" w:hAnsi="Calibri" w:cs="Calibri"/>
          <w:b/>
          <w:bCs/>
          <w:color w:val="000000"/>
          <w:lang w:val="pl-PL" w:eastAsia="pl-PL"/>
        </w:rPr>
      </w:pP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 xml:space="preserve">   WYKONAWCA</w:t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  <w:t>ZAMAWIAJĄCY</w:t>
      </w:r>
    </w:p>
    <w:p w14:paraId="74C96F7A" w14:textId="77777777" w:rsidR="00A15F92" w:rsidRDefault="00A15F92">
      <w:pPr>
        <w:rPr>
          <w:rFonts w:ascii="Times New Roman" w:hAnsi="Times New Roman" w:cs="Times New Roman"/>
        </w:rPr>
      </w:pPr>
    </w:p>
    <w:sectPr w:rsidR="00A15F92" w:rsidSect="007A40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94F1D" w14:textId="77777777" w:rsidR="00A15F92" w:rsidRDefault="00A15F92" w:rsidP="0078770C">
      <w:pPr>
        <w:spacing w:after="0" w:line="240" w:lineRule="auto"/>
      </w:pPr>
      <w:r>
        <w:separator/>
      </w:r>
    </w:p>
  </w:endnote>
  <w:endnote w:type="continuationSeparator" w:id="0">
    <w:p w14:paraId="1660A9E4" w14:textId="77777777" w:rsidR="00A15F92" w:rsidRDefault="00A15F92" w:rsidP="00787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3FF11" w14:textId="77777777" w:rsidR="00A15F92" w:rsidRDefault="00A15F92" w:rsidP="0078770C">
      <w:pPr>
        <w:spacing w:after="0" w:line="240" w:lineRule="auto"/>
      </w:pPr>
      <w:r>
        <w:separator/>
      </w:r>
    </w:p>
  </w:footnote>
  <w:footnote w:type="continuationSeparator" w:id="0">
    <w:p w14:paraId="64526AA3" w14:textId="77777777" w:rsidR="00A15F92" w:rsidRDefault="00A15F92" w:rsidP="00787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767" w:hanging="360"/>
      </w:pPr>
      <w:rPr>
        <w:rFonts w:cs="Times New Roman"/>
        <w:color w:val="000000"/>
      </w:rPr>
    </w:lvl>
  </w:abstractNum>
  <w:abstractNum w:abstractNumId="1" w15:restartNumberingAfterBreak="0">
    <w:nsid w:val="130018EA"/>
    <w:multiLevelType w:val="multilevel"/>
    <w:tmpl w:val="6BE467D2"/>
    <w:name w:val="WW8Num42"/>
    <w:lvl w:ilvl="0">
      <w:start w:val="1"/>
      <w:numFmt w:val="upperRoman"/>
      <w:lvlText w:val="%1."/>
      <w:lvlJc w:val="right"/>
      <w:pPr>
        <w:tabs>
          <w:tab w:val="num" w:pos="284"/>
        </w:tabs>
        <w:ind w:left="644" w:hanging="360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48" w:hanging="360"/>
      </w:pPr>
      <w:rPr>
        <w:rFonts w:ascii="Calibri" w:hAnsi="Calibri" w:cs="Calibri" w:hint="default"/>
        <w:b w:val="0"/>
        <w:i w:val="0"/>
        <w:i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048" w:hanging="360"/>
      </w:pPr>
      <w:rPr>
        <w:rFonts w:ascii="Calibri" w:hAnsi="Calibri" w:cs="Calibri" w:hint="default"/>
        <w:b w:val="0"/>
        <w:i w:val="0"/>
        <w:iCs w:val="0"/>
        <w:color w:val="auto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  <w:rPr>
        <w:rFonts w:cs="Times New Roman"/>
      </w:rPr>
    </w:lvl>
  </w:abstractNum>
  <w:abstractNum w:abstractNumId="2" w15:restartNumberingAfterBreak="0">
    <w:nsid w:val="33673433"/>
    <w:multiLevelType w:val="hybridMultilevel"/>
    <w:tmpl w:val="A44C9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F349C"/>
    <w:multiLevelType w:val="hybridMultilevel"/>
    <w:tmpl w:val="E41A33F6"/>
    <w:lvl w:ilvl="0" w:tplc="ED3836AC">
      <w:start w:val="1"/>
      <w:numFmt w:val="bullet"/>
      <w:lvlText w:val="-"/>
      <w:lvlJc w:val="left"/>
      <w:pPr>
        <w:ind w:left="2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AC7E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82AC9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2C839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E051BC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A4611C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B032E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88290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74A80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04186031">
    <w:abstractNumId w:val="3"/>
  </w:num>
  <w:num w:numId="2" w16cid:durableId="119330293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065"/>
    <w:rsid w:val="000C7467"/>
    <w:rsid w:val="00152193"/>
    <w:rsid w:val="00215421"/>
    <w:rsid w:val="002404F2"/>
    <w:rsid w:val="002D7939"/>
    <w:rsid w:val="002E7456"/>
    <w:rsid w:val="0030209C"/>
    <w:rsid w:val="0033645B"/>
    <w:rsid w:val="00357E1C"/>
    <w:rsid w:val="003C201B"/>
    <w:rsid w:val="003E3416"/>
    <w:rsid w:val="003E4CB8"/>
    <w:rsid w:val="004523DE"/>
    <w:rsid w:val="004F7D22"/>
    <w:rsid w:val="00597963"/>
    <w:rsid w:val="005A7AEA"/>
    <w:rsid w:val="00622645"/>
    <w:rsid w:val="006E3A73"/>
    <w:rsid w:val="00704C71"/>
    <w:rsid w:val="0078770C"/>
    <w:rsid w:val="007A4065"/>
    <w:rsid w:val="00842E54"/>
    <w:rsid w:val="00971B92"/>
    <w:rsid w:val="00A15F92"/>
    <w:rsid w:val="00AA6998"/>
    <w:rsid w:val="00C47E24"/>
    <w:rsid w:val="00C57E87"/>
    <w:rsid w:val="00CA3AC2"/>
    <w:rsid w:val="00CA4F91"/>
    <w:rsid w:val="00D532D4"/>
    <w:rsid w:val="00D70294"/>
    <w:rsid w:val="00DA0A72"/>
    <w:rsid w:val="00DD4013"/>
    <w:rsid w:val="00F7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3D9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F91"/>
  </w:style>
  <w:style w:type="paragraph" w:styleId="Nagwek1">
    <w:name w:val="heading 1"/>
    <w:basedOn w:val="Normalny"/>
    <w:next w:val="Normalny"/>
    <w:link w:val="Nagwek1Znak"/>
    <w:qFormat/>
    <w:rsid w:val="007A4065"/>
    <w:pPr>
      <w:keepNext/>
      <w:keepLines/>
      <w:spacing w:before="240" w:after="0"/>
      <w:jc w:val="center"/>
      <w:outlineLvl w:val="0"/>
    </w:pPr>
    <w:rPr>
      <w:rFonts w:ascii="Calibri" w:eastAsiaTheme="majorEastAsia" w:hAnsi="Calibri" w:cstheme="majorBidi"/>
      <w:b/>
      <w:szCs w:val="32"/>
      <w:u w:val="single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A4065"/>
    <w:pPr>
      <w:keepNext/>
      <w:keepLines/>
      <w:spacing w:before="40" w:after="0"/>
      <w:outlineLvl w:val="1"/>
    </w:pPr>
    <w:rPr>
      <w:rFonts w:ascii="Calibri" w:eastAsiaTheme="majorEastAsia" w:hAnsi="Calibri" w:cstheme="majorBidi"/>
      <w:b/>
      <w:szCs w:val="26"/>
      <w:lang w:val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7A4065"/>
    <w:pPr>
      <w:keepNext/>
      <w:keepLines/>
      <w:spacing w:before="40" w:after="0"/>
      <w:jc w:val="right"/>
      <w:outlineLvl w:val="2"/>
    </w:pPr>
    <w:rPr>
      <w:rFonts w:ascii="Calibri" w:eastAsiaTheme="majorEastAsia" w:hAnsi="Calibri" w:cstheme="majorBidi"/>
      <w:b/>
      <w:i/>
      <w:color w:val="7030A0"/>
      <w:szCs w:val="24"/>
      <w:lang w:val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7A40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7A406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  <w:lang w:val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A406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7A406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lang w:val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7A406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-PL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7A406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4065"/>
    <w:rPr>
      <w:rFonts w:ascii="Calibri" w:eastAsiaTheme="majorEastAsia" w:hAnsi="Calibri" w:cstheme="majorBidi"/>
      <w:b/>
      <w:szCs w:val="32"/>
      <w:u w:val="single"/>
      <w:lang w:val="pl-PL"/>
    </w:rPr>
  </w:style>
  <w:style w:type="character" w:customStyle="1" w:styleId="Nagwek2Znak">
    <w:name w:val="Nagłówek 2 Znak"/>
    <w:basedOn w:val="Domylnaczcionkaakapitu"/>
    <w:link w:val="Nagwek2"/>
    <w:rsid w:val="007A4065"/>
    <w:rPr>
      <w:rFonts w:ascii="Calibri" w:eastAsiaTheme="majorEastAsia" w:hAnsi="Calibri" w:cstheme="majorBidi"/>
      <w:b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rsid w:val="007A4065"/>
    <w:rPr>
      <w:rFonts w:ascii="Calibri" w:eastAsiaTheme="majorEastAsia" w:hAnsi="Calibri" w:cstheme="majorBidi"/>
      <w:b/>
      <w:i/>
      <w:color w:val="7030A0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qFormat/>
    <w:rsid w:val="007A4065"/>
    <w:rPr>
      <w:rFonts w:asciiTheme="majorHAnsi" w:eastAsiaTheme="majorEastAsia" w:hAnsiTheme="majorHAnsi" w:cstheme="majorBidi"/>
      <w:i/>
      <w:iCs/>
      <w:color w:val="2F5496" w:themeColor="accent1" w:themeShade="BF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7A4065"/>
    <w:rPr>
      <w:rFonts w:asciiTheme="majorHAnsi" w:eastAsiaTheme="majorEastAsia" w:hAnsiTheme="majorHAnsi" w:cstheme="majorBidi"/>
      <w:color w:val="2F5496" w:themeColor="accent1" w:themeShade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A4065"/>
    <w:rPr>
      <w:rFonts w:asciiTheme="majorHAnsi" w:eastAsiaTheme="majorEastAsia" w:hAnsiTheme="majorHAnsi" w:cstheme="majorBidi"/>
      <w:color w:val="1F3763" w:themeColor="accent1" w:themeShade="7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7A4065"/>
    <w:rPr>
      <w:rFonts w:asciiTheme="majorHAnsi" w:eastAsiaTheme="majorEastAsia" w:hAnsiTheme="majorHAnsi" w:cstheme="majorBidi"/>
      <w:i/>
      <w:iCs/>
      <w:color w:val="1F3763" w:themeColor="accent1" w:themeShade="7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7A406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7A40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rsid w:val="007A4065"/>
    <w:pPr>
      <w:spacing w:after="120" w:line="276" w:lineRule="auto"/>
      <w:ind w:left="283"/>
    </w:pPr>
    <w:rPr>
      <w:rFonts w:ascii="Calibri" w:eastAsia="Times New Roman" w:hAnsi="Calibri" w:cs="Times New Roman"/>
      <w:szCs w:val="20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A4065"/>
    <w:rPr>
      <w:rFonts w:ascii="Calibri" w:eastAsia="Times New Roman" w:hAnsi="Calibri" w:cs="Times New Roman"/>
      <w:szCs w:val="20"/>
      <w:lang w:val="pl-PL"/>
    </w:rPr>
  </w:style>
  <w:style w:type="character" w:styleId="Hipercze">
    <w:name w:val="Hyperlink"/>
    <w:uiPriority w:val="99"/>
    <w:rsid w:val="007A4065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nhideWhenUsed/>
    <w:rsid w:val="007A4065"/>
    <w:pPr>
      <w:tabs>
        <w:tab w:val="center" w:pos="4536"/>
        <w:tab w:val="right" w:pos="9072"/>
      </w:tabs>
      <w:spacing w:after="0" w:line="240" w:lineRule="auto"/>
    </w:pPr>
    <w:rPr>
      <w:lang w:val="pl-PL"/>
    </w:rPr>
  </w:style>
  <w:style w:type="character" w:customStyle="1" w:styleId="StopkaZnak">
    <w:name w:val="Stopka Znak"/>
    <w:basedOn w:val="Domylnaczcionkaakapitu"/>
    <w:link w:val="Stopka"/>
    <w:rsid w:val="007A4065"/>
    <w:rPr>
      <w:lang w:val="pl-PL"/>
    </w:rPr>
  </w:style>
  <w:style w:type="character" w:styleId="Numerstrony">
    <w:name w:val="page number"/>
    <w:basedOn w:val="Domylnaczcionkaakapitu"/>
    <w:uiPriority w:val="99"/>
    <w:semiHidden/>
    <w:unhideWhenUsed/>
    <w:rsid w:val="007A4065"/>
  </w:style>
  <w:style w:type="character" w:styleId="Pogrubienie">
    <w:name w:val="Strong"/>
    <w:qFormat/>
    <w:rsid w:val="007A4065"/>
    <w:rPr>
      <w:rFonts w:cs="Times New Roman"/>
      <w:b/>
    </w:rPr>
  </w:style>
  <w:style w:type="paragraph" w:styleId="Akapitzlist">
    <w:name w:val="List Paragraph"/>
    <w:aliases w:val="normalny tekst,CW_Lista,Wypunktowanie,L1,Numerowanie,Akapit z listą BS,Odstavec,Akapit z listą numerowaną,Podsis rysunku,lp1,Bullet List,FooterText,numbered,Paragraphe de liste1,Bulletr List Paragraph,列出段落,列出段落1,List Paragraph21,リスト段落1,b"/>
    <w:basedOn w:val="Normalny"/>
    <w:link w:val="AkapitzlistZnak"/>
    <w:uiPriority w:val="34"/>
    <w:qFormat/>
    <w:rsid w:val="007A406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aliases w:val="normalny tekst Znak,CW_Lista Znak,Wypunktowanie Znak,L1 Znak,Numerowanie Znak,Akapit z listą BS Znak,Odstavec Znak,Akapit z listą numerowaną Znak,Podsis rysunku Znak,lp1 Znak,Bullet List Znak,FooterText Znak,numbered Znak,列出段落 Znak"/>
    <w:link w:val="Akapitzlist"/>
    <w:uiPriority w:val="34"/>
    <w:qFormat/>
    <w:locked/>
    <w:rsid w:val="007A4065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highlight">
    <w:name w:val="highlight"/>
    <w:rsid w:val="007A4065"/>
    <w:rPr>
      <w:rFonts w:cs="Times New Roman"/>
    </w:rPr>
  </w:style>
  <w:style w:type="paragraph" w:customStyle="1" w:styleId="Ciemnalistaakcent51">
    <w:name w:val="Ciemna lista — akcent 51"/>
    <w:basedOn w:val="Normalny"/>
    <w:link w:val="Ciemnalistaakcent5Znak"/>
    <w:uiPriority w:val="99"/>
    <w:rsid w:val="007A406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Ciemnalistaakcent5Znak">
    <w:name w:val="Ciemna lista — akcent 5 Znak"/>
    <w:link w:val="Ciemnalistaakcent51"/>
    <w:uiPriority w:val="99"/>
    <w:locked/>
    <w:rsid w:val="007A4065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Default">
    <w:name w:val="Default"/>
    <w:qFormat/>
    <w:rsid w:val="007A40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7A4065"/>
    <w:pPr>
      <w:spacing w:after="120" w:line="480" w:lineRule="auto"/>
    </w:pPr>
    <w:rPr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7A4065"/>
    <w:rPr>
      <w:lang w:val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A4065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A4065"/>
    <w:pPr>
      <w:tabs>
        <w:tab w:val="right" w:leader="dot" w:pos="10456"/>
      </w:tabs>
      <w:spacing w:after="100" w:line="276" w:lineRule="auto"/>
    </w:pPr>
    <w:rPr>
      <w:rFonts w:cstheme="minorHAnsi"/>
      <w:noProof/>
      <w:sz w:val="20"/>
      <w:szCs w:val="20"/>
      <w:lang w:val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A4065"/>
    <w:pPr>
      <w:spacing w:after="100"/>
      <w:ind w:left="220"/>
    </w:pPr>
    <w:rPr>
      <w:lang w:val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A4065"/>
    <w:pPr>
      <w:spacing w:after="120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A4065"/>
    <w:rPr>
      <w:lang w:val="pl-PL"/>
    </w:rPr>
  </w:style>
  <w:style w:type="paragraph" w:styleId="NormalnyWeb">
    <w:name w:val="Normal (Web)"/>
    <w:basedOn w:val="Normalny"/>
    <w:link w:val="NormalnyWebZnak"/>
    <w:uiPriority w:val="99"/>
    <w:rsid w:val="007A4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character" w:customStyle="1" w:styleId="NormalnyWebZnak">
    <w:name w:val="Normalny (Web) Znak"/>
    <w:link w:val="NormalnyWeb"/>
    <w:uiPriority w:val="99"/>
    <w:locked/>
    <w:rsid w:val="007A4065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Spistreci4">
    <w:name w:val="toc 4"/>
    <w:basedOn w:val="Normalny"/>
    <w:next w:val="Normalny"/>
    <w:autoRedefine/>
    <w:uiPriority w:val="99"/>
    <w:semiHidden/>
    <w:unhideWhenUsed/>
    <w:rsid w:val="007A4065"/>
    <w:pPr>
      <w:spacing w:after="100"/>
      <w:ind w:left="660"/>
    </w:pPr>
    <w:rPr>
      <w:lang w:val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4065"/>
    <w:pPr>
      <w:spacing w:line="240" w:lineRule="auto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4065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A4065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/>
    </w:pPr>
    <w:rPr>
      <w:rFonts w:ascii="Times New Roman" w:eastAsia="Arial Unicode MS" w:hAnsi="Arial Unicode MS" w:cs="Times New Roman"/>
      <w:b/>
      <w:color w:val="000000"/>
      <w:u w:color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7A4065"/>
    <w:rPr>
      <w:rFonts w:ascii="Times New Roman" w:eastAsia="Arial Unicode MS" w:hAnsi="Arial Unicode MS" w:cs="Times New Roman"/>
      <w:b/>
      <w:color w:val="000000"/>
      <w:sz w:val="20"/>
      <w:szCs w:val="20"/>
      <w:u w:color="000000"/>
      <w:lang w:val="pl-PL" w:eastAsia="pl-PL"/>
    </w:rPr>
  </w:style>
  <w:style w:type="table" w:styleId="Tabela-Siatka">
    <w:name w:val="Table Grid"/>
    <w:basedOn w:val="Standardowy"/>
    <w:uiPriority w:val="9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lorowalistaakcent11">
    <w:name w:val="Kolorowa lista — akcent 11"/>
    <w:basedOn w:val="Normalny"/>
    <w:link w:val="Kolorowalistaakcent1Znak"/>
    <w:uiPriority w:val="99"/>
    <w:rsid w:val="007A4065"/>
    <w:pPr>
      <w:spacing w:after="120" w:line="360" w:lineRule="auto"/>
      <w:ind w:left="720"/>
    </w:pPr>
    <w:rPr>
      <w:rFonts w:ascii="Arial" w:eastAsia="Times New Roman" w:hAnsi="Arial" w:cs="Times New Roman"/>
      <w:sz w:val="20"/>
      <w:szCs w:val="20"/>
      <w:lang w:val="pl-PL" w:eastAsia="pl-PL"/>
    </w:rPr>
  </w:style>
  <w:style w:type="character" w:customStyle="1" w:styleId="Kolorowalistaakcent1Znak">
    <w:name w:val="Kolorowa lista — akcent 1 Znak"/>
    <w:link w:val="Kolorowalistaakcent11"/>
    <w:uiPriority w:val="99"/>
    <w:locked/>
    <w:rsid w:val="007A4065"/>
    <w:rPr>
      <w:rFonts w:ascii="Arial" w:eastAsia="Times New Roman" w:hAnsi="Arial" w:cs="Times New Roman"/>
      <w:sz w:val="20"/>
      <w:szCs w:val="20"/>
      <w:lang w:val="pl-PL" w:eastAsia="pl-PL"/>
    </w:rPr>
  </w:style>
  <w:style w:type="paragraph" w:styleId="Nagwek">
    <w:name w:val="header"/>
    <w:basedOn w:val="Normalny"/>
    <w:link w:val="NagwekZnak"/>
    <w:unhideWhenUsed/>
    <w:rsid w:val="007A4065"/>
    <w:pPr>
      <w:tabs>
        <w:tab w:val="center" w:pos="4536"/>
        <w:tab w:val="right" w:pos="9072"/>
      </w:tabs>
      <w:spacing w:after="0" w:line="240" w:lineRule="auto"/>
    </w:pPr>
    <w:rPr>
      <w:lang w:val="pl-PL"/>
    </w:rPr>
  </w:style>
  <w:style w:type="character" w:customStyle="1" w:styleId="NagwekZnak">
    <w:name w:val="Nagłówek Znak"/>
    <w:basedOn w:val="Domylnaczcionkaakapitu"/>
    <w:link w:val="Nagwek"/>
    <w:rsid w:val="007A4065"/>
    <w:rPr>
      <w:lang w:val="pl-PL"/>
    </w:rPr>
  </w:style>
  <w:style w:type="paragraph" w:customStyle="1" w:styleId="Jasnasiatkaakcent31">
    <w:name w:val="Jasna siatka — akcent 31"/>
    <w:basedOn w:val="Normalny"/>
    <w:link w:val="Jasnasiatkaakcent3Znak"/>
    <w:uiPriority w:val="99"/>
    <w:rsid w:val="007A4065"/>
    <w:pPr>
      <w:spacing w:after="120" w:line="360" w:lineRule="auto"/>
      <w:ind w:left="708"/>
    </w:pPr>
    <w:rPr>
      <w:rFonts w:ascii="Arial" w:eastAsia="Times New Roman" w:hAnsi="Arial" w:cs="Times New Roman"/>
      <w:sz w:val="20"/>
      <w:szCs w:val="20"/>
      <w:lang w:val="pl-PL" w:eastAsia="pl-PL"/>
    </w:rPr>
  </w:style>
  <w:style w:type="character" w:customStyle="1" w:styleId="Jasnasiatkaakcent3Znak">
    <w:name w:val="Jasna siatka — akcent 3 Znak"/>
    <w:link w:val="Jasnasiatkaakcent31"/>
    <w:uiPriority w:val="99"/>
    <w:locked/>
    <w:rsid w:val="007A4065"/>
    <w:rPr>
      <w:rFonts w:ascii="Arial" w:eastAsia="Times New Roman" w:hAnsi="Arial" w:cs="Times New Roman"/>
      <w:sz w:val="20"/>
      <w:szCs w:val="20"/>
      <w:lang w:val="pl-PL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7A406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7A4065"/>
    <w:rPr>
      <w:rFonts w:ascii="Calibri" w:eastAsia="Times New Roman" w:hAnsi="Calibri" w:cs="Times New Roman"/>
      <w:sz w:val="20"/>
      <w:szCs w:val="20"/>
      <w:lang w:val="pl-PL"/>
    </w:rPr>
  </w:style>
  <w:style w:type="paragraph" w:customStyle="1" w:styleId="Standardowy2">
    <w:name w:val="Standardowy2"/>
    <w:uiPriority w:val="99"/>
    <w:rsid w:val="007A4065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Kolorowecieniowanieakcent31">
    <w:name w:val="Kolorowe cieniowanie — akcent 31"/>
    <w:aliases w:val="sw tekst"/>
    <w:basedOn w:val="Normalny"/>
    <w:link w:val="Kolorowecieniowanieakcent3Znak"/>
    <w:uiPriority w:val="99"/>
    <w:rsid w:val="007A40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Kolorowecieniowanieakcent3Znak">
    <w:name w:val="Kolorowe cieniowanie — akcent 3 Znak"/>
    <w:aliases w:val="sw tekst Znak"/>
    <w:link w:val="Kolorowecieniowanieakcent31"/>
    <w:uiPriority w:val="99"/>
    <w:locked/>
    <w:rsid w:val="007A4065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uiPriority w:val="99"/>
    <w:rsid w:val="007A4065"/>
    <w:rPr>
      <w:rFonts w:cs="Times New Roman"/>
      <w:vertAlign w:val="superscript"/>
    </w:rPr>
  </w:style>
  <w:style w:type="paragraph" w:styleId="Spistreci3">
    <w:name w:val="toc 3"/>
    <w:basedOn w:val="Normalny"/>
    <w:next w:val="Normalny"/>
    <w:autoRedefine/>
    <w:uiPriority w:val="39"/>
    <w:unhideWhenUsed/>
    <w:rsid w:val="007A4065"/>
    <w:pPr>
      <w:spacing w:after="100"/>
      <w:ind w:left="440"/>
    </w:pPr>
    <w:rPr>
      <w:lang w:val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A406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406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4065"/>
    <w:pPr>
      <w:spacing w:after="0" w:line="240" w:lineRule="auto"/>
    </w:pPr>
    <w:rPr>
      <w:rFonts w:ascii="Segoe UI" w:hAnsi="Segoe UI" w:cs="Segoe UI"/>
      <w:sz w:val="18"/>
      <w:szCs w:val="18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065"/>
    <w:rPr>
      <w:rFonts w:ascii="Segoe UI" w:hAnsi="Segoe UI" w:cs="Segoe UI"/>
      <w:sz w:val="18"/>
      <w:szCs w:val="18"/>
      <w:lang w:val="pl-PL"/>
    </w:rPr>
  </w:style>
  <w:style w:type="table" w:customStyle="1" w:styleId="Tabela-Siatka1">
    <w:name w:val="Tabela - Siatka1"/>
    <w:basedOn w:val="Standardowy"/>
    <w:next w:val="Tabela-Siatka"/>
    <w:uiPriority w:val="5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A4065"/>
    <w:pPr>
      <w:spacing w:after="0" w:line="240" w:lineRule="auto"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Tytuksiki">
    <w:name w:val="Book Title"/>
    <w:basedOn w:val="Domylnaczcionkaakapitu"/>
    <w:uiPriority w:val="33"/>
    <w:qFormat/>
    <w:rsid w:val="007A4065"/>
    <w:rPr>
      <w:b/>
      <w:bCs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7A406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7A4065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character" w:styleId="UyteHipercze">
    <w:name w:val="FollowedHyperlink"/>
    <w:basedOn w:val="Domylnaczcionkaakapitu"/>
    <w:uiPriority w:val="99"/>
    <w:semiHidden/>
    <w:unhideWhenUsed/>
    <w:rsid w:val="007A4065"/>
    <w:rPr>
      <w:color w:val="954F72" w:themeColor="followedHyperlink"/>
      <w:u w:val="single"/>
    </w:rPr>
  </w:style>
  <w:style w:type="character" w:customStyle="1" w:styleId="hgkelc">
    <w:name w:val="hgkelc"/>
    <w:basedOn w:val="Domylnaczcionkaakapitu"/>
    <w:rsid w:val="007A4065"/>
  </w:style>
  <w:style w:type="paragraph" w:customStyle="1" w:styleId="redniasiatka1akcent22">
    <w:name w:val="Średnia siatka 1 — akcent 22"/>
    <w:basedOn w:val="Normalny"/>
    <w:link w:val="redniasiatka1akcent2Znak1"/>
    <w:uiPriority w:val="99"/>
    <w:qFormat/>
    <w:rsid w:val="007A406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redniasiatka1akcent2Znak1">
    <w:name w:val="Średnia siatka 1 — akcent 2 Znak1"/>
    <w:link w:val="redniasiatka1akcent22"/>
    <w:uiPriority w:val="99"/>
    <w:locked/>
    <w:rsid w:val="007A4065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Tekstzastpczy">
    <w:name w:val="Placeholder Text"/>
    <w:basedOn w:val="Domylnaczcionkaakapitu"/>
    <w:uiPriority w:val="99"/>
    <w:semiHidden/>
    <w:rsid w:val="007A4065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4065"/>
    <w:pPr>
      <w:spacing w:after="0" w:line="240" w:lineRule="auto"/>
    </w:pPr>
    <w:rPr>
      <w:sz w:val="20"/>
      <w:szCs w:val="20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4065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4065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7A4065"/>
  </w:style>
  <w:style w:type="table" w:customStyle="1" w:styleId="Tabela-Siatka3">
    <w:name w:val="Tabela - Siatka3"/>
    <w:basedOn w:val="Standardowy"/>
    <w:next w:val="Tabela-Siatka"/>
    <w:uiPriority w:val="9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7A4065"/>
    <w:pPr>
      <w:spacing w:after="0" w:line="240" w:lineRule="auto"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5">
    <w:name w:val="Tabela - Siatka5"/>
    <w:basedOn w:val="Standardowy"/>
    <w:next w:val="Tabela-Siatka"/>
    <w:uiPriority w:val="39"/>
    <w:rsid w:val="007A4065"/>
    <w:pPr>
      <w:spacing w:after="0" w:line="240" w:lineRule="auto"/>
    </w:pPr>
    <w:rPr>
      <w:rFonts w:eastAsia="Times New Roman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7A4065"/>
    <w:rPr>
      <w:i/>
      <w:iCs/>
    </w:rPr>
  </w:style>
  <w:style w:type="numbering" w:customStyle="1" w:styleId="Bezlisty2">
    <w:name w:val="Bez listy2"/>
    <w:next w:val="Bezlisty"/>
    <w:uiPriority w:val="99"/>
    <w:semiHidden/>
    <w:unhideWhenUsed/>
    <w:rsid w:val="007A4065"/>
  </w:style>
  <w:style w:type="table" w:customStyle="1" w:styleId="TableGrid2">
    <w:name w:val="TableGrid2"/>
    <w:rsid w:val="007A4065"/>
    <w:pPr>
      <w:spacing w:after="0" w:line="240" w:lineRule="auto"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31">
    <w:name w:val="Tabela - Siatka31"/>
    <w:basedOn w:val="Standardowy"/>
    <w:next w:val="Tabela-Siatka"/>
    <w:uiPriority w:val="9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A4065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7A4065"/>
  </w:style>
  <w:style w:type="table" w:customStyle="1" w:styleId="Tabela-Siatka4">
    <w:name w:val="Tabela - Siatka4"/>
    <w:basedOn w:val="Standardowy"/>
    <w:next w:val="Tabela-Siatka"/>
    <w:uiPriority w:val="99"/>
    <w:rsid w:val="007A4065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99"/>
    <w:rsid w:val="007A4065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7A4065"/>
    <w:pPr>
      <w:spacing w:after="0" w:line="240" w:lineRule="auto"/>
    </w:pPr>
    <w:rPr>
      <w:rFonts w:ascii="Calibri" w:eastAsia="Times New Roman" w:hAnsi="Calibri" w:cs="Times New Roman"/>
      <w:lang w:val="pl-PL"/>
    </w:rPr>
  </w:style>
  <w:style w:type="numbering" w:customStyle="1" w:styleId="Bezlisty3">
    <w:name w:val="Bez listy3"/>
    <w:next w:val="Bezlisty"/>
    <w:uiPriority w:val="99"/>
    <w:semiHidden/>
    <w:unhideWhenUsed/>
    <w:rsid w:val="007A4065"/>
  </w:style>
  <w:style w:type="table" w:customStyle="1" w:styleId="Tabela-Siatka7">
    <w:name w:val="Tabela - Siatka7"/>
    <w:basedOn w:val="Standardowy"/>
    <w:next w:val="Tabela-Siatka"/>
    <w:uiPriority w:val="99"/>
    <w:rsid w:val="007A4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user">
    <w:name w:val="Table Contents (user)"/>
    <w:basedOn w:val="Normalny"/>
    <w:uiPriority w:val="99"/>
    <w:rsid w:val="007A4065"/>
    <w:pPr>
      <w:suppressLineNumbers/>
      <w:suppressAutoHyphens/>
      <w:autoSpaceDN w:val="0"/>
      <w:spacing w:after="0" w:line="240" w:lineRule="auto"/>
    </w:pPr>
    <w:rPr>
      <w:rFonts w:ascii="Times New Roman" w:eastAsia="Arial" w:hAnsi="Times New Roman" w:cs="Times New Roman"/>
      <w:kern w:val="3"/>
      <w:sz w:val="24"/>
      <w:szCs w:val="24"/>
      <w:lang w:val="pl-PL" w:eastAsia="ja-JP"/>
    </w:rPr>
  </w:style>
  <w:style w:type="paragraph" w:customStyle="1" w:styleId="Zawartotabeli">
    <w:name w:val="Zawartość tabeli"/>
    <w:basedOn w:val="Normalny"/>
    <w:qFormat/>
    <w:rsid w:val="007A406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val="pl-PL" w:eastAsia="hi-IN" w:bidi="hi-IN"/>
    </w:rPr>
  </w:style>
  <w:style w:type="paragraph" w:styleId="Lista">
    <w:name w:val="List"/>
    <w:basedOn w:val="Normalny"/>
    <w:uiPriority w:val="99"/>
    <w:unhideWhenUsed/>
    <w:rsid w:val="007A4065"/>
    <w:pPr>
      <w:ind w:left="360" w:hanging="360"/>
      <w:contextualSpacing/>
    </w:pPr>
    <w:rPr>
      <w:lang w:val="pl-PL"/>
    </w:rPr>
  </w:style>
  <w:style w:type="paragraph" w:styleId="Lista2">
    <w:name w:val="List 2"/>
    <w:basedOn w:val="Normalny"/>
    <w:uiPriority w:val="99"/>
    <w:unhideWhenUsed/>
    <w:rsid w:val="007A4065"/>
    <w:pPr>
      <w:ind w:left="720" w:hanging="360"/>
      <w:contextualSpacing/>
    </w:pPr>
    <w:rPr>
      <w:lang w:val="pl-PL"/>
    </w:rPr>
  </w:style>
  <w:style w:type="paragraph" w:styleId="Lista3">
    <w:name w:val="List 3"/>
    <w:basedOn w:val="Normalny"/>
    <w:uiPriority w:val="99"/>
    <w:unhideWhenUsed/>
    <w:rsid w:val="007A4065"/>
    <w:pPr>
      <w:ind w:left="1080" w:hanging="360"/>
      <w:contextualSpacing/>
    </w:pPr>
    <w:rPr>
      <w:lang w:val="pl-PL"/>
    </w:rPr>
  </w:style>
  <w:style w:type="paragraph" w:styleId="Lista4">
    <w:name w:val="List 4"/>
    <w:basedOn w:val="Normalny"/>
    <w:uiPriority w:val="99"/>
    <w:unhideWhenUsed/>
    <w:rsid w:val="007A4065"/>
    <w:pPr>
      <w:ind w:left="1440" w:hanging="360"/>
      <w:contextualSpacing/>
    </w:pPr>
    <w:rPr>
      <w:lang w:val="pl-PL"/>
    </w:rPr>
  </w:style>
  <w:style w:type="paragraph" w:styleId="Lista-kontynuacja">
    <w:name w:val="List Continue"/>
    <w:basedOn w:val="Normalny"/>
    <w:uiPriority w:val="99"/>
    <w:unhideWhenUsed/>
    <w:rsid w:val="007A4065"/>
    <w:pPr>
      <w:spacing w:after="120"/>
      <w:ind w:left="360"/>
      <w:contextualSpacing/>
    </w:pPr>
    <w:rPr>
      <w:lang w:val="pl-PL"/>
    </w:rPr>
  </w:style>
  <w:style w:type="paragraph" w:styleId="Legenda">
    <w:name w:val="caption"/>
    <w:basedOn w:val="Normalny"/>
    <w:next w:val="Normalny"/>
    <w:uiPriority w:val="35"/>
    <w:unhideWhenUsed/>
    <w:qFormat/>
    <w:rsid w:val="007A4065"/>
    <w:pPr>
      <w:spacing w:after="200" w:line="240" w:lineRule="auto"/>
    </w:pPr>
    <w:rPr>
      <w:i/>
      <w:iCs/>
      <w:color w:val="44546A" w:themeColor="text2"/>
      <w:sz w:val="18"/>
      <w:szCs w:val="18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7A4065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7A4065"/>
    <w:rPr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7A4065"/>
    <w:pPr>
      <w:spacing w:after="160" w:line="259" w:lineRule="auto"/>
      <w:ind w:left="360" w:firstLine="360"/>
    </w:pPr>
    <w:rPr>
      <w:rFonts w:asciiTheme="minorHAnsi" w:eastAsiaTheme="minorHAnsi" w:hAnsiTheme="minorHAnsi" w:cstheme="minorBidi"/>
      <w:szCs w:val="22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7A4065"/>
    <w:rPr>
      <w:rFonts w:ascii="Calibri" w:eastAsia="Times New Roman" w:hAnsi="Calibri" w:cs="Times New Roman"/>
      <w:szCs w:val="20"/>
      <w:lang w:val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7A4065"/>
    <w:rPr>
      <w:color w:val="605E5C"/>
      <w:shd w:val="clear" w:color="auto" w:fill="E1DFDD"/>
    </w:rPr>
  </w:style>
  <w:style w:type="table" w:customStyle="1" w:styleId="Tabela-Siatka8">
    <w:name w:val="Tabela - Siatka8"/>
    <w:basedOn w:val="Standardowy"/>
    <w:next w:val="Tabela-Siatka"/>
    <w:uiPriority w:val="39"/>
    <w:rsid w:val="00622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3305</Words>
  <Characters>19835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2023-10-24T07:26:00Z</dcterms:created>
  <dcterms:modified xsi:type="dcterms:W3CDTF">2023-11-08T09:08:00Z</dcterms:modified>
</cp:coreProperties>
</file>