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FBE1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689ACAA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6565F59" w14:textId="77777777" w:rsidR="00602DC5" w:rsidRPr="001F5754" w:rsidRDefault="0028561D" w:rsidP="00602DC5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602D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="00602DC5"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270A32" w14:textId="01FC7E97" w:rsidR="0028561D" w:rsidRPr="001F5754" w:rsidRDefault="0028561D" w:rsidP="00DE1B30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B54785" w:rsidRPr="00DE1B30">
        <w:rPr>
          <w:rFonts w:ascii="Arial" w:eastAsia="Times New Roman" w:hAnsi="Arial" w:cs="Arial"/>
          <w:sz w:val="20"/>
          <w:szCs w:val="20"/>
          <w:lang w:eastAsia="pl-PL"/>
        </w:rPr>
        <w:t>podstawowym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602DC5" w:rsidRPr="00DE1B30">
        <w:rPr>
          <w:rFonts w:ascii="Arial" w:hAnsi="Arial" w:cs="Arial"/>
          <w:b/>
          <w:sz w:val="20"/>
          <w:szCs w:val="20"/>
        </w:rPr>
        <w:t>z</w:t>
      </w:r>
      <w:r w:rsidR="00602DC5" w:rsidRPr="00DE1B30">
        <w:rPr>
          <w:rFonts w:ascii="Arial" w:hAnsi="Arial" w:cs="Arial"/>
          <w:b/>
          <w:bCs/>
          <w:sz w:val="20"/>
          <w:szCs w:val="20"/>
        </w:rPr>
        <w:t>akup i dostawę zautomatyzowanego zestawu do wysokosprawnej chromatografii cieczowej HPLC wyposażonego w detektor diodowy DAD oraz detektor refraktometryczny  wraz z uruchomieniem i szkoleniem</w:t>
      </w:r>
      <w:r w:rsidR="00DE1B30">
        <w:rPr>
          <w:rFonts w:ascii="Arial" w:hAnsi="Arial" w:cs="Arial"/>
          <w:b/>
          <w:bCs/>
          <w:sz w:val="20"/>
          <w:szCs w:val="20"/>
        </w:rPr>
        <w:t xml:space="preserve">, </w:t>
      </w:r>
      <w:r w:rsidR="001F5754"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AF7BD2" w:rsidRPr="00DE1B30">
        <w:rPr>
          <w:rFonts w:ascii="Arial" w:eastAsia="Times New Roman" w:hAnsi="Arial" w:cs="Arial"/>
          <w:sz w:val="20"/>
          <w:szCs w:val="20"/>
          <w:lang w:eastAsia="pl-PL"/>
        </w:rPr>
        <w:t>zawartym w Z</w:t>
      </w:r>
      <w:r w:rsidR="00FA5938" w:rsidRPr="00DE1B30">
        <w:rPr>
          <w:rFonts w:ascii="Arial" w:eastAsia="Times New Roman" w:hAnsi="Arial" w:cs="Arial"/>
          <w:sz w:val="20"/>
          <w:szCs w:val="20"/>
          <w:lang w:eastAsia="pl-PL"/>
        </w:rPr>
        <w:t>ałączniku nr A do S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DE1B3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630"/>
        <w:gridCol w:w="1701"/>
        <w:gridCol w:w="1134"/>
        <w:gridCol w:w="2268"/>
      </w:tblGrid>
      <w:tr w:rsidR="00FA5938" w:rsidRPr="001F5754" w14:paraId="184CCE6A" w14:textId="77777777" w:rsidTr="00602DC5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30" w:type="dxa"/>
            <w:vAlign w:val="center"/>
          </w:tcPr>
          <w:p w14:paraId="477F8F5F" w14:textId="2DA43A4F" w:rsidR="00FA5938" w:rsidRPr="001F5754" w:rsidRDefault="00FA5938" w:rsidP="0060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  <w:r w:rsidR="00602DC5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 1 szt./  1 etap/ 1zestaw</w:t>
            </w:r>
          </w:p>
        </w:tc>
        <w:tc>
          <w:tcPr>
            <w:tcW w:w="1701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134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602DC5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0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68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890317E" w14:textId="77777777" w:rsidTr="00602DC5">
        <w:trPr>
          <w:trHeight w:val="744"/>
        </w:trPr>
        <w:tc>
          <w:tcPr>
            <w:tcW w:w="731" w:type="dxa"/>
            <w:vAlign w:val="center"/>
          </w:tcPr>
          <w:p w14:paraId="63183F82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34493F2F" w14:textId="25EA3AC7" w:rsidR="007732F1" w:rsidRPr="001F5754" w:rsidRDefault="00602DC5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Zestaw do wysokosprawnej chromatografii cieczowej HPLC</w:t>
            </w:r>
          </w:p>
        </w:tc>
        <w:tc>
          <w:tcPr>
            <w:tcW w:w="2734" w:type="dxa"/>
            <w:vAlign w:val="center"/>
          </w:tcPr>
          <w:p w14:paraId="7909C98F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7866AD7" w14:textId="0CA157EF"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zestaw</w:t>
            </w:r>
          </w:p>
        </w:tc>
        <w:tc>
          <w:tcPr>
            <w:tcW w:w="1630" w:type="dxa"/>
            <w:vAlign w:val="center"/>
          </w:tcPr>
          <w:p w14:paraId="4ABD5F32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DF9D7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54D22CDB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1E0FA09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6C443093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2EC7A5E9" w14:textId="77777777"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14:paraId="3C34AE24" w14:textId="44DFC687" w:rsidR="001F5754" w:rsidRPr="001F5754" w:rsidRDefault="001F5754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Zestaw komputerowy stacjonarny 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2D6AF8AC" w:rsidR="001F5754" w:rsidRPr="001F5754" w:rsidRDefault="001F5754" w:rsidP="00602DC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30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E916BF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02DC5" w:rsidRPr="001F5754" w14:paraId="677C4FEF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70A65DFD" w14:textId="2713623C" w:rsidR="00602DC5" w:rsidRDefault="00602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3970A64D" w14:textId="7A2A86A8" w:rsidR="00602DC5" w:rsidRPr="001F5754" w:rsidRDefault="00602DC5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2734" w:type="dxa"/>
            <w:vAlign w:val="center"/>
          </w:tcPr>
          <w:p w14:paraId="31A8A753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E27DC57" w14:textId="2AB45EA4" w:rsidR="00602DC5" w:rsidRPr="001F5754" w:rsidRDefault="00602DC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30" w:type="dxa"/>
            <w:vAlign w:val="center"/>
          </w:tcPr>
          <w:p w14:paraId="4A3CD07E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A175847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0CA261DB" w14:textId="3FA948F0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4C90BBAA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02DC5" w:rsidRPr="001F5754" w14:paraId="2657B496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36242534" w14:textId="0DB79AF6" w:rsidR="00602DC5" w:rsidRDefault="00602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05" w:type="dxa"/>
            <w:vAlign w:val="center"/>
          </w:tcPr>
          <w:p w14:paraId="23B3FC8E" w14:textId="6252284B" w:rsidR="00602DC5" w:rsidRDefault="00602DC5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Szkolenie (2 etapy po  min. 5h)</w:t>
            </w:r>
          </w:p>
        </w:tc>
        <w:tc>
          <w:tcPr>
            <w:tcW w:w="2734" w:type="dxa"/>
            <w:vAlign w:val="center"/>
          </w:tcPr>
          <w:p w14:paraId="4AECA40F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35EB06F" w14:textId="0F815A99" w:rsidR="00602DC5" w:rsidRDefault="00602DC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etapy</w:t>
            </w:r>
          </w:p>
        </w:tc>
        <w:tc>
          <w:tcPr>
            <w:tcW w:w="1630" w:type="dxa"/>
            <w:vAlign w:val="center"/>
          </w:tcPr>
          <w:p w14:paraId="12A37C20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4DD9D63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4EB968F" w14:textId="6F30BE99" w:rsidR="00602DC5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zwolnienie z VAT</w:t>
            </w:r>
          </w:p>
        </w:tc>
        <w:tc>
          <w:tcPr>
            <w:tcW w:w="2268" w:type="dxa"/>
          </w:tcPr>
          <w:p w14:paraId="3CFBE39C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602DC5">
        <w:trPr>
          <w:trHeight w:val="583"/>
        </w:trPr>
        <w:tc>
          <w:tcPr>
            <w:tcW w:w="8818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31B281" w14:textId="5C5FFB6C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4623366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F81E996" w14:textId="336117FD" w:rsidR="00602DC5" w:rsidRPr="00DE1B30" w:rsidRDefault="00602DC5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Naliczanie podatku VAT – 0%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 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braila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późn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zm. – art. 83 ust. 1 pkt 26 lit. a, wykaz sprzętu załącznik nr 8 do ustawy) -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dotyczy zestawu komputerowego stacjonarnego i monitora.</w:t>
      </w:r>
    </w:p>
    <w:p w14:paraId="155EB9D9" w14:textId="063F058F" w:rsidR="00602DC5" w:rsidRPr="00DE1B30" w:rsidRDefault="00602DC5" w:rsidP="00DE1B30">
      <w:pPr>
        <w:numPr>
          <w:ilvl w:val="1"/>
          <w:numId w:val="0"/>
        </w:numPr>
        <w:tabs>
          <w:tab w:val="num" w:pos="680"/>
        </w:tabs>
        <w:spacing w:after="0" w:line="240" w:lineRule="auto"/>
        <w:ind w:left="680" w:hanging="680"/>
        <w:jc w:val="both"/>
        <w:outlineLvl w:val="1"/>
        <w:rPr>
          <w:rFonts w:ascii="Arial" w:eastAsia="Calibri" w:hAnsi="Arial" w:cs="Arial"/>
          <w:bCs/>
          <w:iCs/>
          <w:sz w:val="18"/>
          <w:szCs w:val="18"/>
          <w:lang w:eastAsia="x-none"/>
        </w:rPr>
      </w:pP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Naliczanie podatku VAT –  stawka „zwolnienie z VAT”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Dotyczy szkolenia dla użytkowników. Stosowne zapisy zawarte są w Projektowanych postanowieniach umowy – załącznik 4 do SWZ </w:t>
      </w:r>
    </w:p>
    <w:p w14:paraId="6133FF76" w14:textId="77777777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90C0E" w14:textId="3BE03639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B54785">
      <w:rPr>
        <w:rFonts w:cstheme="minorHAnsi"/>
        <w:b/>
        <w:i/>
        <w:sz w:val="20"/>
      </w:rPr>
      <w:t>ZP3/</w:t>
    </w:r>
    <w:r w:rsidR="00DE1B30">
      <w:rPr>
        <w:rFonts w:cstheme="minorHAnsi"/>
        <w:b/>
        <w:i/>
        <w:sz w:val="20"/>
      </w:rPr>
      <w:t>757</w:t>
    </w:r>
    <w:r w:rsidR="00B54785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172D"/>
    <w:rsid w:val="00085C43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02DC5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000DE"/>
    <w:rsid w:val="00DE1B30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E1C7E-5E4D-46E1-A719-1C2D3F910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2</cp:revision>
  <cp:lastPrinted>2024-03-15T09:30:00Z</cp:lastPrinted>
  <dcterms:created xsi:type="dcterms:W3CDTF">2024-03-15T09:31:00Z</dcterms:created>
  <dcterms:modified xsi:type="dcterms:W3CDTF">2024-03-15T09:31:00Z</dcterms:modified>
</cp:coreProperties>
</file>