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640" w:type="dxa"/>
        <w:tblInd w:w="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0"/>
        <w:gridCol w:w="3810"/>
        <w:gridCol w:w="1035"/>
        <w:gridCol w:w="2985"/>
      </w:tblGrid>
      <w:tr w:rsidR="00657134" w:rsidRPr="00657134" w14:paraId="43F51D26" w14:textId="77777777" w:rsidTr="00657134">
        <w:trPr>
          <w:trHeight w:val="540"/>
        </w:trPr>
        <w:tc>
          <w:tcPr>
            <w:tcW w:w="86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7392F5A" w14:textId="77777777" w:rsidR="00657134" w:rsidRPr="00657134" w:rsidRDefault="00657134" w:rsidP="0065713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bookmarkStart w:id="0" w:name="_GoBack" w:colFirst="0" w:colLast="0"/>
            <w:r w:rsidRPr="00657134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 xml:space="preserve">Wysokiej klasy, kompaktowy </w:t>
            </w:r>
            <w:proofErr w:type="spellStart"/>
            <w:r w:rsidRPr="00657134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Spektrofluorymetr</w:t>
            </w:r>
            <w:proofErr w:type="spellEnd"/>
            <w:r w:rsidRPr="00657134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 xml:space="preserve"> do pomiarów stacjonarnej fluorescencji, próbek w stanie ciekłym i stałym.</w:t>
            </w: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  <w:p w14:paraId="67DA7CDD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 </w:t>
            </w:r>
          </w:p>
        </w:tc>
      </w:tr>
      <w:tr w:rsidR="00657134" w:rsidRPr="00657134" w14:paraId="19639162" w14:textId="77777777" w:rsidTr="00657134">
        <w:trPr>
          <w:trHeight w:val="54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D6C261A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 </w:t>
            </w:r>
          </w:p>
        </w:tc>
        <w:tc>
          <w:tcPr>
            <w:tcW w:w="38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8FE917B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Opis parametrów:</w:t>
            </w: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0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91FF3F3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TAK/NIE</w:t>
            </w: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9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9DE8A11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Opis spełnienia parametru</w:t>
            </w: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  <w:tr w:rsidR="00657134" w:rsidRPr="00657134" w14:paraId="0B26E3BF" w14:textId="77777777" w:rsidTr="00657134">
        <w:trPr>
          <w:trHeight w:val="54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BCD22F6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1. </w:t>
            </w:r>
          </w:p>
        </w:tc>
        <w:tc>
          <w:tcPr>
            <w:tcW w:w="3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C30059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Główne cechy systemu:</w:t>
            </w: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  <w:p w14:paraId="7EF12D05" w14:textId="5D065C98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- System kompatybilny z lokalną siecią elektryczną (230 V, 50 </w:t>
            </w:r>
            <w:proofErr w:type="spellStart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Hz</w:t>
            </w:r>
            <w:proofErr w:type="spellEnd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) </w:t>
            </w:r>
          </w:p>
          <w:p w14:paraId="05591F18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- Warunki pracy: od +15 do 25°C </w:t>
            </w:r>
          </w:p>
          <w:p w14:paraId="470A7C03" w14:textId="79DD8729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- Kompaktowy </w:t>
            </w:r>
            <w:proofErr w:type="spellStart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spektrofluorymetr</w:t>
            </w:r>
            <w:proofErr w:type="spellEnd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do ustawienia na stole laboratoryjnym</w:t>
            </w:r>
            <w:r w:rsidR="00C336ED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, </w:t>
            </w:r>
            <w:r w:rsidR="00354600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głębokość nie większa niż </w:t>
            </w:r>
            <w:r w:rsidR="006B2B9C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50 cm</w:t>
            </w:r>
            <w:r w:rsidR="00F21D8B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.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4463F1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2BB011E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 </w:t>
            </w: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  <w:tr w:rsidR="00657134" w:rsidRPr="00657134" w14:paraId="27E6E357" w14:textId="77777777" w:rsidTr="00657134">
        <w:trPr>
          <w:trHeight w:val="54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DFBD600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2. </w:t>
            </w:r>
          </w:p>
        </w:tc>
        <w:tc>
          <w:tcPr>
            <w:tcW w:w="3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4DA001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 xml:space="preserve">Czułość </w:t>
            </w:r>
            <w:proofErr w:type="spellStart"/>
            <w:r w:rsidRPr="00657134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spektrofluorymetru</w:t>
            </w:r>
            <w:proofErr w:type="spellEnd"/>
            <w:r w:rsidRPr="00657134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:</w:t>
            </w: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  <w:p w14:paraId="4A0036AE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Minimum 10 000:1 (SQRT, FSD) wyznaczona dla </w:t>
            </w:r>
            <w:proofErr w:type="spellStart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ramanowskiego</w:t>
            </w:r>
            <w:proofErr w:type="spellEnd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pasma wody, mierzona za pomocą standardowego fotopowielacza obejmującego minimalny zakres długości fali 200-900 </w:t>
            </w:r>
            <w:proofErr w:type="spellStart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nm</w:t>
            </w:r>
            <w:proofErr w:type="spellEnd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w warunkach standardowych: długość fali wzbudzenia 350 </w:t>
            </w:r>
            <w:proofErr w:type="spellStart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nm</w:t>
            </w:r>
            <w:proofErr w:type="spellEnd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, szczelina dla kanałów wzbudzenia i emisji 5 </w:t>
            </w:r>
            <w:proofErr w:type="spellStart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nm</w:t>
            </w:r>
            <w:proofErr w:type="spellEnd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, czas całkowania na punkt – 1 s, tylko jeden skan (bez średniej z kilku skanów)) bez filtrów optycznych, bez dodatkowej obróbki danych i bez powtórzeń skanowania. 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53E95D8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 </w:t>
            </w:r>
          </w:p>
        </w:tc>
        <w:tc>
          <w:tcPr>
            <w:tcW w:w="2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D0730C5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 </w:t>
            </w:r>
          </w:p>
        </w:tc>
      </w:tr>
      <w:tr w:rsidR="00657134" w:rsidRPr="00657134" w14:paraId="7B064644" w14:textId="77777777" w:rsidTr="00657134">
        <w:trPr>
          <w:trHeight w:val="54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FAC380D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3. </w:t>
            </w:r>
          </w:p>
        </w:tc>
        <w:tc>
          <w:tcPr>
            <w:tcW w:w="3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CEF3472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Optyka:</w:t>
            </w: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  <w:p w14:paraId="2FBBDE92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Całkowicie odbiciowa na całej drodze światła, od lampy do detektorów, achromatyczna w całym zakresie długości fal, umożliwiająca doskonałe ogniskowanie dla wszystkich długości fali od głębokiego UV do NIR dla małych próbek 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5642E8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 </w:t>
            </w:r>
          </w:p>
        </w:tc>
        <w:tc>
          <w:tcPr>
            <w:tcW w:w="2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9519D23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 </w:t>
            </w:r>
          </w:p>
        </w:tc>
      </w:tr>
      <w:tr w:rsidR="00657134" w:rsidRPr="00657134" w14:paraId="791CC3C6" w14:textId="77777777" w:rsidTr="00657134">
        <w:trPr>
          <w:trHeight w:val="54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AC296E4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4. </w:t>
            </w:r>
          </w:p>
        </w:tc>
        <w:tc>
          <w:tcPr>
            <w:tcW w:w="3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62369CA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Źródło wzbudzenia:</w:t>
            </w: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  <w:p w14:paraId="279E56BB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proofErr w:type="spellStart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Bezozonowa</w:t>
            </w:r>
            <w:proofErr w:type="spellEnd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, niskoszumowa lampa ksenonowa o mocy ciągłej, minimum 150 W, emitująca od 230 </w:t>
            </w:r>
            <w:proofErr w:type="spellStart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nm</w:t>
            </w:r>
            <w:proofErr w:type="spellEnd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do NIR. Sprzężenie między lampą a monochromatorem wzbudzenia zapewnione przez optykę odbiciową. </w:t>
            </w:r>
          </w:p>
          <w:p w14:paraId="00721071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  <w:p w14:paraId="32ED5D9F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Nominalny kąt między osią wzbudzenia a normalną powierzchni rozdzielacza wiązki w układzie pomiaru natężenia wiązki wzbudzającej, nie większy niż 18°. 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72D7ACC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 </w:t>
            </w:r>
          </w:p>
        </w:tc>
        <w:tc>
          <w:tcPr>
            <w:tcW w:w="2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CCC7E1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 </w:t>
            </w:r>
          </w:p>
        </w:tc>
      </w:tr>
      <w:tr w:rsidR="00657134" w:rsidRPr="00657134" w14:paraId="1BB3104F" w14:textId="77777777" w:rsidTr="00657134">
        <w:trPr>
          <w:trHeight w:val="54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F8F763E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5. </w:t>
            </w:r>
          </w:p>
        </w:tc>
        <w:tc>
          <w:tcPr>
            <w:tcW w:w="3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B81758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Monochromatory wzbudzenia i emisji:</w:t>
            </w: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  <w:p w14:paraId="3A64573F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- Monochromatory  wzbudzenia i emisji  zapewniające czułość fluorescencji nie gorszą, niż 10 000:1 (SQRT, FSD)  </w:t>
            </w:r>
          </w:p>
          <w:p w14:paraId="3673E248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lastRenderedPageBreak/>
              <w:t>- Siatki dyfrakcyjne typu schodkowego (</w:t>
            </w:r>
            <w:proofErr w:type="spellStart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ruled</w:t>
            </w:r>
            <w:proofErr w:type="spellEnd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) o  gęstości linii 1200/mm, optymalizowane dla 300 </w:t>
            </w:r>
            <w:proofErr w:type="spellStart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nm</w:t>
            </w:r>
            <w:proofErr w:type="spellEnd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(</w:t>
            </w:r>
            <w:proofErr w:type="spellStart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blaze</w:t>
            </w:r>
            <w:proofErr w:type="spellEnd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</w:t>
            </w:r>
            <w:proofErr w:type="spellStart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angle</w:t>
            </w:r>
            <w:proofErr w:type="spellEnd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) dla wzbudzenia i 500 </w:t>
            </w:r>
            <w:proofErr w:type="spellStart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nm</w:t>
            </w:r>
            <w:proofErr w:type="spellEnd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(</w:t>
            </w:r>
            <w:proofErr w:type="spellStart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blaze</w:t>
            </w:r>
            <w:proofErr w:type="spellEnd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</w:t>
            </w:r>
            <w:proofErr w:type="spellStart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angle</w:t>
            </w:r>
            <w:proofErr w:type="spellEnd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) dla emisji </w:t>
            </w:r>
          </w:p>
          <w:p w14:paraId="16BCA832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- Szerokość spektralna pasma zarówno dla toru wzbudzenia, jak i emisji sterowana komputerowo w sposób ciągły w zakresie od  0 do min 20</w:t>
            </w:r>
            <w:r w:rsidRPr="00657134">
              <w:rPr>
                <w:rFonts w:ascii="Calibri" w:eastAsia="Times New Roman" w:hAnsi="Calibri" w:cs="Calibri"/>
                <w:color w:val="D13438"/>
                <w:kern w:val="0"/>
                <w:u w:val="single"/>
                <w:lang w:eastAsia="pl-PL"/>
                <w14:ligatures w14:val="none"/>
              </w:rPr>
              <w:t xml:space="preserve"> </w:t>
            </w:r>
            <w:proofErr w:type="spellStart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nm</w:t>
            </w:r>
            <w:proofErr w:type="spellEnd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  <w:p w14:paraId="5E8D36F1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- Dokładność długości fali: nie gorsza, niż +/- 0,5 </w:t>
            </w:r>
            <w:proofErr w:type="spellStart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nm</w:t>
            </w:r>
            <w:proofErr w:type="spellEnd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  <w:p w14:paraId="6A819EE7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- Rozdzielczość widmowa: 0,3 </w:t>
            </w:r>
            <w:proofErr w:type="spellStart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nm</w:t>
            </w:r>
            <w:proofErr w:type="spellEnd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lub lepsza. 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9B9FE94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lastRenderedPageBreak/>
              <w:t>  </w:t>
            </w:r>
          </w:p>
        </w:tc>
        <w:tc>
          <w:tcPr>
            <w:tcW w:w="2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683481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 </w:t>
            </w:r>
          </w:p>
        </w:tc>
      </w:tr>
      <w:tr w:rsidR="00657134" w:rsidRPr="00657134" w14:paraId="2E70A4A2" w14:textId="77777777" w:rsidTr="00657134">
        <w:trPr>
          <w:trHeight w:val="57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F855934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6. </w:t>
            </w:r>
          </w:p>
        </w:tc>
        <w:tc>
          <w:tcPr>
            <w:tcW w:w="3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BBE3B3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Detektory: </w:t>
            </w: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  <w:p w14:paraId="381B32A1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- Detektor fluorescencji - wysokoczuły fotopowielacz (PMT) do rejestracji sygnału fluorescencyjnego, o zakresie pracy przynajmniej 200-900nm, pracujący w trybie zliczania fotonów; ciągły wybór czasu integracji w zakresie od 1 ms do 100 s </w:t>
            </w:r>
          </w:p>
          <w:p w14:paraId="067213D9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- Detektor referencyjny - rejestrujący natężenie światła odbitego od rozdzielacza wiązki dla wiązki w zbudzającej w celu normalizacji sygnału fluorescencji i korekcji fluktuacji lampy, o zakresie pracy 200-1000 nm. 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7018A3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 </w:t>
            </w:r>
          </w:p>
        </w:tc>
        <w:tc>
          <w:tcPr>
            <w:tcW w:w="2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6E16E2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 </w:t>
            </w:r>
          </w:p>
        </w:tc>
      </w:tr>
      <w:tr w:rsidR="00657134" w:rsidRPr="00657134" w14:paraId="235A0471" w14:textId="77777777" w:rsidTr="00657134">
        <w:trPr>
          <w:trHeight w:val="54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268AE19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7. </w:t>
            </w:r>
          </w:p>
        </w:tc>
        <w:tc>
          <w:tcPr>
            <w:tcW w:w="3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4EBC75A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Uchwyty na próbki:</w:t>
            </w: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  <w:p w14:paraId="144BB279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- Uchwyty na próbki do próbek ciekłych i stałych (folie, proszki, masy itp.) – proszę dołączyć zdjęcie uchwytu. </w:t>
            </w:r>
          </w:p>
          <w:p w14:paraId="370A794A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- Akcesorium optyczne do obserwacji fluorescencji metodą od czoła: kąt pomiędzy kierunkiem wzbudzenia, a kierunkiem wiązki światła fluorescencyjnego nie większy niż  30° </w:t>
            </w:r>
          </w:p>
          <w:p w14:paraId="27DBE19A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Proszę o przesłanie zdjęć akcesorium. </w:t>
            </w:r>
          </w:p>
          <w:p w14:paraId="396AA2FE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- Możliwość rozbudowy o termostatowany uchwyt do próbek ciekłych (</w:t>
            </w:r>
            <w:proofErr w:type="spellStart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autosampler</w:t>
            </w:r>
            <w:proofErr w:type="spellEnd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) z mieszadłem magnetycznym. 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FBC024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 </w:t>
            </w:r>
          </w:p>
        </w:tc>
        <w:tc>
          <w:tcPr>
            <w:tcW w:w="2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7070510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 </w:t>
            </w:r>
          </w:p>
        </w:tc>
      </w:tr>
      <w:tr w:rsidR="00657134" w:rsidRPr="00657134" w14:paraId="27A4D468" w14:textId="77777777" w:rsidTr="00657134">
        <w:trPr>
          <w:trHeight w:val="54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F691D6B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8. </w:t>
            </w:r>
          </w:p>
        </w:tc>
        <w:tc>
          <w:tcPr>
            <w:tcW w:w="3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E9A7ED2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Polaryzatory:</w:t>
            </w: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  <w:p w14:paraId="57FFF5CF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W pełni zautomatyzowane podwójne polaryzatory Glan-</w:t>
            </w:r>
            <w:proofErr w:type="spellStart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Thompson’a</w:t>
            </w:r>
            <w:proofErr w:type="spellEnd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(transmitujący od 250 </w:t>
            </w:r>
            <w:proofErr w:type="spellStart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nm</w:t>
            </w:r>
            <w:proofErr w:type="spellEnd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) o współczynniku ekstynkcji min. 100000:1. Znajdujące się na wejściu i wyjściu komory próbki. Automatyczny wybór kierunków polaryzacji, a także automatyczne usuwanie polaryzatorów z drogi optycznej, gdy nie są używane. </w:t>
            </w:r>
          </w:p>
          <w:p w14:paraId="1185F6E5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lastRenderedPageBreak/>
              <w:t>Proszę dołączyć krzywe kalibracyjne dla różnych polaryzacji w celu oszacowania wartości tzw. Współczynnika G-</w:t>
            </w:r>
            <w:proofErr w:type="spellStart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factor</w:t>
            </w:r>
            <w:proofErr w:type="spellEnd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. </w:t>
            </w:r>
          </w:p>
          <w:p w14:paraId="5B5D69DC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9B2FF61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lastRenderedPageBreak/>
              <w:t>  </w:t>
            </w:r>
          </w:p>
        </w:tc>
        <w:tc>
          <w:tcPr>
            <w:tcW w:w="2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2FBF9A3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 </w:t>
            </w:r>
          </w:p>
        </w:tc>
      </w:tr>
      <w:tr w:rsidR="00657134" w:rsidRPr="00657134" w14:paraId="6CEB1B55" w14:textId="77777777" w:rsidTr="00657134">
        <w:trPr>
          <w:trHeight w:val="54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9756CB9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9. </w:t>
            </w:r>
          </w:p>
        </w:tc>
        <w:tc>
          <w:tcPr>
            <w:tcW w:w="3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8D8F855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 xml:space="preserve">Naczynie </w:t>
            </w:r>
            <w:proofErr w:type="spellStart"/>
            <w:r w:rsidRPr="00657134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Dewara</w:t>
            </w:r>
            <w:proofErr w:type="spellEnd"/>
            <w:r w:rsidRPr="00657134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 xml:space="preserve"> do pomiaru w temperaturze ciekłego azotu:</w:t>
            </w: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  <w:p w14:paraId="26BBA9ED" w14:textId="12018BBD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- </w:t>
            </w:r>
            <w:proofErr w:type="spellStart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Dewar</w:t>
            </w:r>
            <w:proofErr w:type="spellEnd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</w:t>
            </w:r>
            <w:r w:rsidR="00AA14E5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na</w:t>
            </w: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ciekły azot z uchwytem pasującym do komory na próbki aparatu. </w:t>
            </w:r>
          </w:p>
          <w:p w14:paraId="0872A2CC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- Uchwyt na próbki składający się z rurki kwarcowej. </w:t>
            </w:r>
          </w:p>
          <w:p w14:paraId="30DC1A57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- Rurka kwarcowa do stosowania w naczyniu </w:t>
            </w:r>
            <w:proofErr w:type="spellStart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Dewara</w:t>
            </w:r>
            <w:proofErr w:type="spellEnd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EB5838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 </w:t>
            </w:r>
          </w:p>
        </w:tc>
        <w:tc>
          <w:tcPr>
            <w:tcW w:w="2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DA4234E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 </w:t>
            </w:r>
          </w:p>
        </w:tc>
      </w:tr>
      <w:tr w:rsidR="00657134" w:rsidRPr="00657134" w14:paraId="6C6BD085" w14:textId="77777777" w:rsidTr="00657134">
        <w:trPr>
          <w:trHeight w:val="57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2848E55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10. </w:t>
            </w:r>
          </w:p>
        </w:tc>
        <w:tc>
          <w:tcPr>
            <w:tcW w:w="3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2550F80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Oprogramowanie do akwizycji i przetwarzania danych:</w:t>
            </w: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  <w:p w14:paraId="144052F5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- Oprogramowanie do pełnej kontroli </w:t>
            </w:r>
            <w:proofErr w:type="spellStart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spektrofluorometru</w:t>
            </w:r>
            <w:proofErr w:type="spellEnd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i przetwarzania danych. Musi umożliwiać wszystkie klasyczne tryby akwizycji, takie jak widma wzbudzenia i emisji, widma synchroniczne, akwizycje oparte na czasie i kinetykę, pomiary radiometryczne i kinetykę, określanie wydajności kwantowej. </w:t>
            </w:r>
          </w:p>
          <w:p w14:paraId="02BB2FFE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- Wszystkie klasyczne obliczenia przetwarzania danych i funkcje, takie jak matematyczne operacje na widmach, identyfikacja pików, obliczenia pochodnych i całkowanie. </w:t>
            </w:r>
          </w:p>
          <w:p w14:paraId="622CC31E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- Preferowane oprogramowanie oparte na interfejsie graficznym </w:t>
            </w:r>
            <w:proofErr w:type="spellStart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Origin</w:t>
            </w:r>
            <w:proofErr w:type="spellEnd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. 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A46374E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 </w:t>
            </w:r>
          </w:p>
        </w:tc>
        <w:tc>
          <w:tcPr>
            <w:tcW w:w="2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2C4A146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 </w:t>
            </w:r>
          </w:p>
        </w:tc>
      </w:tr>
      <w:tr w:rsidR="00657134" w:rsidRPr="00657134" w14:paraId="1BEA9B77" w14:textId="77777777" w:rsidTr="00657134">
        <w:trPr>
          <w:trHeight w:val="57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F2B7333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11. </w:t>
            </w:r>
          </w:p>
        </w:tc>
        <w:tc>
          <w:tcPr>
            <w:tcW w:w="3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EF7984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Kontroler: </w:t>
            </w:r>
            <w:r w:rsidRPr="00657134">
              <w:rPr>
                <w:rFonts w:ascii="Calibri" w:eastAsia="Times New Roman" w:hAnsi="Calibri" w:cs="Calibri"/>
                <w:color w:val="D13438"/>
                <w:kern w:val="0"/>
                <w:lang w:eastAsia="pl-PL"/>
                <w14:ligatures w14:val="none"/>
              </w:rPr>
              <w:t> </w:t>
            </w:r>
          </w:p>
          <w:p w14:paraId="25233F89" w14:textId="49A44723" w:rsidR="00D41A56" w:rsidRPr="00725B56" w:rsidRDefault="00203529" w:rsidP="00657134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A </w:t>
            </w:r>
            <w:r w:rsidR="00DD4F81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-</w:t>
            </w:r>
            <w:r w:rsidR="00725B56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</w:t>
            </w:r>
            <w:r w:rsidR="00657134"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komputer </w:t>
            </w:r>
            <w:r w:rsidR="0082105F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stacjonarny </w:t>
            </w:r>
            <w:r w:rsidR="00657134"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(minimalne parametry: OS Windows 10 lub 11 , SDD min. 250 GB, RAM 16GB, procesor Intel </w:t>
            </w:r>
            <w:proofErr w:type="spellStart"/>
            <w:r w:rsidR="00657134"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Core</w:t>
            </w:r>
            <w:proofErr w:type="spellEnd"/>
            <w:r w:rsidR="00657134"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i7)</w:t>
            </w:r>
            <w:r w:rsidR="00725B56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, </w:t>
            </w:r>
            <w:r w:rsidR="00725B56"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klawiatura, myszka </w:t>
            </w:r>
          </w:p>
          <w:p w14:paraId="3E159EE3" w14:textId="3682CF8A" w:rsidR="006F4CE0" w:rsidRPr="0070110E" w:rsidRDefault="00203529" w:rsidP="00657134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B </w:t>
            </w:r>
            <w:r w:rsidR="00DD4F81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-</w:t>
            </w:r>
            <w:r w:rsidR="00725B56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</w:t>
            </w:r>
            <w:r w:rsidR="00657134"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monitor 24”, LCD, odświeżanie minimum 50 </w:t>
            </w:r>
            <w:proofErr w:type="spellStart"/>
            <w:r w:rsidR="00657134"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Hz</w:t>
            </w:r>
            <w:proofErr w:type="spellEnd"/>
            <w:r w:rsidR="00657134"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, 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7D2D73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 </w:t>
            </w:r>
          </w:p>
        </w:tc>
        <w:tc>
          <w:tcPr>
            <w:tcW w:w="2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3457D75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 </w:t>
            </w:r>
          </w:p>
        </w:tc>
      </w:tr>
      <w:tr w:rsidR="00657134" w:rsidRPr="00657134" w14:paraId="173ECE3C" w14:textId="77777777" w:rsidTr="00657134">
        <w:trPr>
          <w:trHeight w:val="27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25AF349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12. </w:t>
            </w:r>
          </w:p>
        </w:tc>
        <w:tc>
          <w:tcPr>
            <w:tcW w:w="3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633F3D6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Zapewniona możliwość rozbudowy w przyszłości o:</w:t>
            </w: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  <w:p w14:paraId="521E3B0C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- Opcję pomiaru czasów życia fluorescencji TCSPC: </w:t>
            </w:r>
          </w:p>
          <w:p w14:paraId="6CCC212F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Technika liczenie pojedynczych fotonów obejmująca zakres czasu od pikosekund do sekund, w tym tryby MCS i TCSPC. Czas reakcji elektroniki TCSPC z czasem martwym 10 </w:t>
            </w:r>
            <w:proofErr w:type="spellStart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ns</w:t>
            </w:r>
            <w:proofErr w:type="spellEnd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lub mniej. </w:t>
            </w:r>
          </w:p>
          <w:p w14:paraId="6E220281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 </w:t>
            </w:r>
          </w:p>
          <w:p w14:paraId="29C70793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- Dodatkowy kanał emisji, umożliwiający  </w:t>
            </w:r>
          </w:p>
          <w:p w14:paraId="537A5DDB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rozszerzenie zakresu długości fali emisji do 1700 nm. </w:t>
            </w:r>
          </w:p>
          <w:p w14:paraId="186F7107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 </w:t>
            </w:r>
          </w:p>
          <w:p w14:paraId="064FE48D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lastRenderedPageBreak/>
              <w:t>- Sferę integrującą dla PLQY: </w:t>
            </w:r>
          </w:p>
          <w:p w14:paraId="10A1845F" w14:textId="6B10D648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Akcesorium PLQY do próbek ciekłych i stałych, oparte na zastosowaniu kuli całkującej. 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F5FDCA6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lastRenderedPageBreak/>
              <w:t>  </w:t>
            </w:r>
          </w:p>
        </w:tc>
        <w:tc>
          <w:tcPr>
            <w:tcW w:w="2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A07F42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 </w:t>
            </w:r>
          </w:p>
        </w:tc>
      </w:tr>
      <w:tr w:rsidR="00657134" w:rsidRPr="00657134" w14:paraId="77F0E200" w14:textId="77777777" w:rsidTr="00657134">
        <w:trPr>
          <w:trHeight w:val="27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F7AA3AB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13. </w:t>
            </w:r>
          </w:p>
        </w:tc>
        <w:tc>
          <w:tcPr>
            <w:tcW w:w="3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E5C915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Zapewniony transport i instalacja urządzenia</w:t>
            </w: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  <w:p w14:paraId="15ED4CD2" w14:textId="6235D4BB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Dostawca zapewni transport i instalację urządzenia</w:t>
            </w:r>
            <w:r w:rsidR="00E10C80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oraz instalację oprogramowania sterującego na dostarczonym </w:t>
            </w:r>
            <w:r w:rsidR="003E5546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Kontrolerze. P</w:t>
            </w: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rzeprowadzi instruktaż użytkowania oraz demonstrację parametrów urządzenia, w szczególności pomiar </w:t>
            </w:r>
            <w:proofErr w:type="spellStart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ramanowskiego</w:t>
            </w:r>
            <w:proofErr w:type="spellEnd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pasma wody, mierzonego za pomocą standardowego fotopowielacza obejmującego minimalny zakres długości fali 200-900 </w:t>
            </w:r>
            <w:proofErr w:type="spellStart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nm</w:t>
            </w:r>
            <w:proofErr w:type="spellEnd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 w warunkach standardowych: długość fali wzbudzenia 350 </w:t>
            </w:r>
            <w:proofErr w:type="spellStart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nm</w:t>
            </w:r>
            <w:proofErr w:type="spellEnd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, szczelina dla kanałów wzbudzenia i emisji 5 </w:t>
            </w:r>
            <w:proofErr w:type="spellStart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nm</w:t>
            </w:r>
            <w:proofErr w:type="spellEnd"/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, czas całkowania na punkt – 1 s, tylko jeden skan (bez średniej z kilku skanów)) bez filtrów optycznych, bez dodatkowej obróbki danych i bez powtórzeń skanowania z czułością minimum 10000:1 (SQRT, FSD). </w:t>
            </w:r>
          </w:p>
          <w:p w14:paraId="4BA8C1B2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1BA65A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3C9989F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  <w:tr w:rsidR="00657134" w:rsidRPr="00657134" w14:paraId="0CC67B42" w14:textId="77777777" w:rsidTr="00657134">
        <w:trPr>
          <w:trHeight w:val="27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F1B1CD2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14. </w:t>
            </w:r>
          </w:p>
        </w:tc>
        <w:tc>
          <w:tcPr>
            <w:tcW w:w="3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2DAA2F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Zapewniony serwis gwarancyjny i pogwarancyjny</w:t>
            </w: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  <w:p w14:paraId="38E6BDB1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Okres gwarancyjny nie krótszy niż 2 lata. </w:t>
            </w:r>
          </w:p>
          <w:p w14:paraId="08D8F5B5" w14:textId="33FB61AD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 </w:t>
            </w:r>
          </w:p>
          <w:p w14:paraId="0656CA1E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Czas reakcji serwisu nie dłuższy niż 3 dni. </w:t>
            </w:r>
          </w:p>
          <w:p w14:paraId="4293E6F5" w14:textId="60CC1D24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102D61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AA9BD0D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  <w:tr w:rsidR="00657134" w:rsidRPr="00657134" w14:paraId="45269860" w14:textId="77777777" w:rsidTr="00657134">
        <w:trPr>
          <w:trHeight w:val="27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5735D28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15. </w:t>
            </w:r>
          </w:p>
        </w:tc>
        <w:tc>
          <w:tcPr>
            <w:tcW w:w="3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C99AA1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Oferta i czas realizacji</w:t>
            </w: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  <w:p w14:paraId="5967294E" w14:textId="654B792C" w:rsidR="00657134" w:rsidRPr="00657134" w:rsidRDefault="00DA5DF7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Maksymalny termin realizacji </w:t>
            </w:r>
            <w:r w:rsidR="00257100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dostawy i instalacji </w:t>
            </w:r>
            <w:r w:rsidR="009A3A08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15</w:t>
            </w:r>
            <w:r w:rsidR="00CC0C38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.12</w:t>
            </w:r>
            <w:r w:rsidR="009A3A08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.</w:t>
            </w:r>
            <w:r w:rsidR="00657134"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2024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A86834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2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8B28F0D" w14:textId="77777777" w:rsidR="00657134" w:rsidRPr="00657134" w:rsidRDefault="00657134" w:rsidP="0065713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5713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 </w:t>
            </w:r>
          </w:p>
        </w:tc>
      </w:tr>
    </w:tbl>
    <w:bookmarkEnd w:id="0"/>
    <w:p w14:paraId="71C50900" w14:textId="10B2B0EF" w:rsidR="00657134" w:rsidRPr="00657134" w:rsidRDefault="00657134" w:rsidP="00657134">
      <w:pPr>
        <w:spacing w:after="0" w:line="240" w:lineRule="auto"/>
        <w:ind w:left="-30" w:right="-30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pl-PL"/>
          <w14:ligatures w14:val="none"/>
        </w:rPr>
      </w:pPr>
      <w:r w:rsidRPr="00657134">
        <w:rPr>
          <w:rFonts w:ascii="Calibri" w:eastAsia="Times New Roman" w:hAnsi="Calibri" w:cs="Calibri"/>
          <w:kern w:val="0"/>
          <w:lang w:eastAsia="pl-PL"/>
          <w14:ligatures w14:val="none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sectPr w:rsidR="00657134" w:rsidRPr="00657134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B6998C" w14:textId="77777777" w:rsidR="00AA2C1B" w:rsidRDefault="00AA2C1B" w:rsidP="00AA2C1B">
      <w:pPr>
        <w:spacing w:after="0" w:line="240" w:lineRule="auto"/>
      </w:pPr>
      <w:r>
        <w:separator/>
      </w:r>
    </w:p>
  </w:endnote>
  <w:endnote w:type="continuationSeparator" w:id="0">
    <w:p w14:paraId="25474CFC" w14:textId="77777777" w:rsidR="00AA2C1B" w:rsidRDefault="00AA2C1B" w:rsidP="00AA2C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718FA8" w14:textId="77777777" w:rsidR="00AA2C1B" w:rsidRDefault="00AA2C1B" w:rsidP="00AA2C1B">
      <w:pPr>
        <w:spacing w:after="0" w:line="240" w:lineRule="auto"/>
      </w:pPr>
      <w:r>
        <w:separator/>
      </w:r>
    </w:p>
  </w:footnote>
  <w:footnote w:type="continuationSeparator" w:id="0">
    <w:p w14:paraId="63E81D1F" w14:textId="77777777" w:rsidR="00AA2C1B" w:rsidRDefault="00AA2C1B" w:rsidP="00AA2C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263353" w14:textId="2B511B93" w:rsidR="00AA2C1B" w:rsidRDefault="00AA2C1B">
    <w:pPr>
      <w:pStyle w:val="Nagwek"/>
    </w:pPr>
    <w:r>
      <w:t>ZP3/1146/24</w:t>
    </w:r>
    <w:r>
      <w:tab/>
    </w:r>
    <w:r>
      <w:tab/>
    </w:r>
    <w:r>
      <w:tab/>
    </w:r>
    <w:r>
      <w:tab/>
      <w:t xml:space="preserve">Załącznik B – opis przedmiotu zamówienia dla cz. 2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134"/>
    <w:rsid w:val="00052F65"/>
    <w:rsid w:val="000858C8"/>
    <w:rsid w:val="00094AB7"/>
    <w:rsid w:val="0013665F"/>
    <w:rsid w:val="00203529"/>
    <w:rsid w:val="00257100"/>
    <w:rsid w:val="002A7317"/>
    <w:rsid w:val="002F19F4"/>
    <w:rsid w:val="00354600"/>
    <w:rsid w:val="003E5546"/>
    <w:rsid w:val="005049B1"/>
    <w:rsid w:val="00540588"/>
    <w:rsid w:val="00657134"/>
    <w:rsid w:val="006B2B9C"/>
    <w:rsid w:val="006F4CE0"/>
    <w:rsid w:val="0070110E"/>
    <w:rsid w:val="00725B56"/>
    <w:rsid w:val="00747A18"/>
    <w:rsid w:val="007E28A1"/>
    <w:rsid w:val="0082105F"/>
    <w:rsid w:val="0086136B"/>
    <w:rsid w:val="009A3A08"/>
    <w:rsid w:val="009F4FA8"/>
    <w:rsid w:val="00AA14E5"/>
    <w:rsid w:val="00AA2C1B"/>
    <w:rsid w:val="00AF7720"/>
    <w:rsid w:val="00B5685E"/>
    <w:rsid w:val="00BF1608"/>
    <w:rsid w:val="00C336ED"/>
    <w:rsid w:val="00C6387C"/>
    <w:rsid w:val="00C762F9"/>
    <w:rsid w:val="00CC0C38"/>
    <w:rsid w:val="00D41A56"/>
    <w:rsid w:val="00DA5DF7"/>
    <w:rsid w:val="00DD4F81"/>
    <w:rsid w:val="00E10C80"/>
    <w:rsid w:val="00E20480"/>
    <w:rsid w:val="00F21D8B"/>
    <w:rsid w:val="00FA2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DDE87"/>
  <w15:chartTrackingRefBased/>
  <w15:docId w15:val="{A4D7E7E6-6519-4416-A499-C39B731AB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657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ormaltextrun">
    <w:name w:val="normaltextrun"/>
    <w:basedOn w:val="Domylnaczcionkaakapitu"/>
    <w:rsid w:val="00657134"/>
  </w:style>
  <w:style w:type="character" w:customStyle="1" w:styleId="eop">
    <w:name w:val="eop"/>
    <w:basedOn w:val="Domylnaczcionkaakapitu"/>
    <w:rsid w:val="00657134"/>
  </w:style>
  <w:style w:type="paragraph" w:styleId="Tekstdymka">
    <w:name w:val="Balloon Text"/>
    <w:basedOn w:val="Normalny"/>
    <w:link w:val="TekstdymkaZnak"/>
    <w:uiPriority w:val="99"/>
    <w:semiHidden/>
    <w:unhideWhenUsed/>
    <w:rsid w:val="00AA2C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2C1B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AA2C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A2C1B"/>
  </w:style>
  <w:style w:type="paragraph" w:styleId="Stopka">
    <w:name w:val="footer"/>
    <w:basedOn w:val="Normalny"/>
    <w:link w:val="StopkaZnak"/>
    <w:uiPriority w:val="99"/>
    <w:unhideWhenUsed/>
    <w:rsid w:val="00AA2C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2C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899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46656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739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85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8857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755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353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43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387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258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528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1357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991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5200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252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162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797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81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564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683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7916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08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034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380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1779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534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877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910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461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589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425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3777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783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378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09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797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510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424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5077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225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96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170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0005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517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759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58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708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968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387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86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272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2514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67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16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08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338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72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843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35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826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6888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603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584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30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0219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17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90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874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1130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958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96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4062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5013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925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4831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645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500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91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411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121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20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2119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532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7198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6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254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636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636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5013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79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653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175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100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078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0706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9165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15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1504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628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7292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77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323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922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96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325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691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0568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547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6548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817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882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492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0424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669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104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788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6446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44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24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191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63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391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202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49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207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22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530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981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2539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200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6052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740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298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21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2849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6424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2700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552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378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701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095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8602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99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7662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95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54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9481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255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0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01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938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84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417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563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16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8180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875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9276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762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3880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936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878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86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0172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173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99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626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41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55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441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5268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43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916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08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243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612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4389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675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930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466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924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676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42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34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0201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885</Words>
  <Characters>5311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Glinka</dc:creator>
  <cp:keywords/>
  <dc:description/>
  <cp:lastModifiedBy>Iwona Zerbin</cp:lastModifiedBy>
  <cp:revision>3</cp:revision>
  <cp:lastPrinted>2024-04-08T08:34:00Z</cp:lastPrinted>
  <dcterms:created xsi:type="dcterms:W3CDTF">2024-04-08T08:34:00Z</dcterms:created>
  <dcterms:modified xsi:type="dcterms:W3CDTF">2024-04-08T08:35:00Z</dcterms:modified>
</cp:coreProperties>
</file>