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B17F3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sz w:val="22"/>
          <w:szCs w:val="23"/>
          <w:lang w:eastAsia="ja-JP"/>
        </w:rPr>
      </w:pPr>
      <w:r w:rsidRPr="003919A3">
        <w:rPr>
          <w:rFonts w:cs="Arial"/>
          <w:sz w:val="22"/>
          <w:szCs w:val="23"/>
          <w:lang w:eastAsia="ja-JP"/>
        </w:rPr>
        <w:t xml:space="preserve">Załącznik </w:t>
      </w:r>
      <w:r w:rsidR="003919A3" w:rsidRPr="003919A3">
        <w:rPr>
          <w:rFonts w:cs="Arial"/>
          <w:sz w:val="22"/>
          <w:szCs w:val="23"/>
          <w:lang w:eastAsia="ja-JP"/>
        </w:rPr>
        <w:t>A</w:t>
      </w:r>
      <w:r w:rsidRPr="003919A3">
        <w:rPr>
          <w:rFonts w:cs="Arial"/>
          <w:sz w:val="22"/>
          <w:szCs w:val="23"/>
          <w:lang w:eastAsia="ja-JP"/>
        </w:rPr>
        <w:t xml:space="preserve"> do </w:t>
      </w:r>
      <w:r w:rsidR="00956F04">
        <w:rPr>
          <w:rFonts w:cs="Arial"/>
          <w:sz w:val="22"/>
          <w:szCs w:val="23"/>
          <w:lang w:eastAsia="ja-JP"/>
        </w:rPr>
        <w:t>SWZ</w:t>
      </w:r>
    </w:p>
    <w:p w14:paraId="2862A171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14:paraId="6AD82F8F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14:paraId="02A5740B" w14:textId="77777777" w:rsidR="00E371C8" w:rsidRPr="003919A3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sz w:val="22"/>
          <w:szCs w:val="23"/>
          <w:lang w:eastAsia="ja-JP"/>
        </w:rPr>
      </w:pPr>
    </w:p>
    <w:p w14:paraId="20617D79" w14:textId="77777777" w:rsidR="00242613" w:rsidRPr="003919A3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sz w:val="28"/>
          <w:szCs w:val="28"/>
          <w:lang w:eastAsia="ja-JP"/>
        </w:rPr>
      </w:pPr>
      <w:r w:rsidRPr="003919A3">
        <w:rPr>
          <w:rFonts w:cs="Arial"/>
          <w:b/>
          <w:sz w:val="28"/>
          <w:szCs w:val="28"/>
          <w:lang w:eastAsia="ja-JP"/>
        </w:rPr>
        <w:t>OPIS PRZEDMIOTU ZAMÓWIENIA</w:t>
      </w:r>
    </w:p>
    <w:p w14:paraId="57175CA1" w14:textId="2ED98415" w:rsidR="00242613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22"/>
          <w:szCs w:val="23"/>
          <w:lang w:eastAsia="ja-JP"/>
        </w:rPr>
      </w:pPr>
    </w:p>
    <w:p w14:paraId="69ACD80B" w14:textId="366B5FBC" w:rsidR="009D7C60" w:rsidRPr="006F7BFC" w:rsidRDefault="006F7BA4" w:rsidP="00134834">
      <w:pPr>
        <w:autoSpaceDE w:val="0"/>
        <w:autoSpaceDN w:val="0"/>
        <w:adjustRightInd w:val="0"/>
        <w:jc w:val="both"/>
        <w:rPr>
          <w:rFonts w:cs="Arial"/>
          <w:b/>
          <w:color w:val="FF0000"/>
          <w:sz w:val="22"/>
          <w:szCs w:val="23"/>
          <w:lang w:eastAsia="ja-JP"/>
        </w:rPr>
      </w:pPr>
      <w:r>
        <w:rPr>
          <w:rFonts w:ascii="Arial-BoldMT" w:hAnsi="Arial-BoldMT" w:cs="Arial-BoldMT"/>
          <w:b/>
          <w:bCs/>
          <w:szCs w:val="24"/>
        </w:rPr>
        <w:t>W</w:t>
      </w:r>
      <w:r w:rsidRPr="006F7BA4">
        <w:rPr>
          <w:rFonts w:ascii="Arial-BoldMT" w:hAnsi="Arial-BoldMT" w:cs="Arial-BoldMT"/>
          <w:b/>
          <w:bCs/>
          <w:szCs w:val="24"/>
        </w:rPr>
        <w:t xml:space="preserve">ielostanowiskowa stacja robocza do prowadzenia syntez równoległych oraz pompa </w:t>
      </w:r>
      <w:proofErr w:type="spellStart"/>
      <w:r w:rsidRPr="006F7BA4">
        <w:rPr>
          <w:rFonts w:ascii="Arial-BoldMT" w:hAnsi="Arial-BoldMT" w:cs="Arial-BoldMT"/>
          <w:b/>
          <w:bCs/>
          <w:szCs w:val="24"/>
        </w:rPr>
        <w:t>strzykawkowa</w:t>
      </w:r>
      <w:proofErr w:type="spellEnd"/>
      <w:r w:rsidR="009D7C60">
        <w:rPr>
          <w:rFonts w:ascii="Arial-BoldMT" w:hAnsi="Arial-BoldMT" w:cs="Arial-BoldMT"/>
          <w:b/>
          <w:bCs/>
          <w:szCs w:val="24"/>
        </w:rPr>
        <w:t>.</w:t>
      </w:r>
    </w:p>
    <w:p w14:paraId="4B7869EB" w14:textId="116663FB" w:rsidR="003167D8" w:rsidRDefault="003167D8" w:rsidP="003167D8">
      <w:pPr>
        <w:rPr>
          <w:rFonts w:cs="Arial"/>
          <w:b/>
          <w:sz w:val="22"/>
          <w:szCs w:val="28"/>
        </w:rPr>
      </w:pPr>
    </w:p>
    <w:p w14:paraId="2016463D" w14:textId="11915287" w:rsidR="006F7BA4" w:rsidRDefault="006F7BA4" w:rsidP="003167D8">
      <w:pPr>
        <w:rPr>
          <w:rFonts w:cs="Arial"/>
          <w:b/>
          <w:sz w:val="22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8567"/>
      </w:tblGrid>
      <w:tr w:rsidR="006F7BA4" w:rsidRPr="006F7BA4" w14:paraId="2C7C14E4" w14:textId="77777777" w:rsidTr="00066E0F">
        <w:tc>
          <w:tcPr>
            <w:tcW w:w="9062" w:type="dxa"/>
            <w:gridSpan w:val="2"/>
          </w:tcPr>
          <w:p w14:paraId="2CE3713E" w14:textId="77777777" w:rsidR="006F7BA4" w:rsidRPr="006F7BA4" w:rsidRDefault="006F7BA4" w:rsidP="006F7BA4">
            <w:pPr>
              <w:spacing w:before="240" w:after="240"/>
              <w:jc w:val="center"/>
              <w:rPr>
                <w:rFonts w:cs="Arial"/>
                <w:color w:val="000000"/>
                <w:sz w:val="20"/>
                <w:szCs w:val="20"/>
              </w:rPr>
            </w:pPr>
            <w:r w:rsidRPr="006F7BA4">
              <w:rPr>
                <w:rFonts w:cs="Arial"/>
                <w:b/>
                <w:color w:val="000000"/>
                <w:sz w:val="20"/>
                <w:szCs w:val="20"/>
              </w:rPr>
              <w:t>Wymagania dla systemu reakcyjnego (stacji roboczej)</w:t>
            </w:r>
          </w:p>
        </w:tc>
      </w:tr>
      <w:tr w:rsidR="006F7BA4" w:rsidRPr="006F7BA4" w14:paraId="618ACD5D" w14:textId="77777777" w:rsidTr="00066E0F">
        <w:tc>
          <w:tcPr>
            <w:tcW w:w="495" w:type="dxa"/>
          </w:tcPr>
          <w:p w14:paraId="2F3A3F9A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8567" w:type="dxa"/>
          </w:tcPr>
          <w:p w14:paraId="68A6C970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System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multireakcyjny</w:t>
            </w:r>
            <w:proofErr w:type="spellEnd"/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 wyposażony w minimum 10 niezależnie sterowanych stanowisk reakcyjnych</w:t>
            </w:r>
          </w:p>
        </w:tc>
      </w:tr>
      <w:tr w:rsidR="006F7BA4" w:rsidRPr="006F7BA4" w14:paraId="7A932FA1" w14:textId="77777777" w:rsidTr="00066E0F">
        <w:tc>
          <w:tcPr>
            <w:tcW w:w="495" w:type="dxa"/>
          </w:tcPr>
          <w:p w14:paraId="24F55668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8567" w:type="dxa"/>
          </w:tcPr>
          <w:p w14:paraId="7300A3A7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Średnica stanowiska reakcyjnego nie więcej niż 24mm</w:t>
            </w:r>
          </w:p>
        </w:tc>
      </w:tr>
      <w:tr w:rsidR="006F7BA4" w:rsidRPr="006F7BA4" w14:paraId="31D66C44" w14:textId="77777777" w:rsidTr="00066E0F">
        <w:tc>
          <w:tcPr>
            <w:tcW w:w="495" w:type="dxa"/>
          </w:tcPr>
          <w:p w14:paraId="7B973E54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8567" w:type="dxa"/>
          </w:tcPr>
          <w:p w14:paraId="743F0CAE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Moc pojedynczego stanowiska reakcyjnego nie mniej niż 100W</w:t>
            </w:r>
          </w:p>
        </w:tc>
      </w:tr>
      <w:tr w:rsidR="006F7BA4" w:rsidRPr="006F7BA4" w14:paraId="06877A0C" w14:textId="77777777" w:rsidTr="00066E0F">
        <w:tc>
          <w:tcPr>
            <w:tcW w:w="495" w:type="dxa"/>
          </w:tcPr>
          <w:p w14:paraId="0A044CB1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8567" w:type="dxa"/>
          </w:tcPr>
          <w:p w14:paraId="61FEC990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Zakres roboczy temperatur co najmniej od -10°C do 150°C z dokładnością ±0.1°C</w:t>
            </w:r>
          </w:p>
        </w:tc>
      </w:tr>
      <w:tr w:rsidR="006F7BA4" w:rsidRPr="006F7BA4" w14:paraId="355AC604" w14:textId="77777777" w:rsidTr="00066E0F">
        <w:tc>
          <w:tcPr>
            <w:tcW w:w="495" w:type="dxa"/>
          </w:tcPr>
          <w:p w14:paraId="1661E4F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5.</w:t>
            </w:r>
          </w:p>
        </w:tc>
        <w:tc>
          <w:tcPr>
            <w:tcW w:w="8567" w:type="dxa"/>
          </w:tcPr>
          <w:p w14:paraId="4498CF70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Stabilność temperatury co najmniej ±0.1°C </w:t>
            </w:r>
          </w:p>
        </w:tc>
      </w:tr>
      <w:tr w:rsidR="006F7BA4" w:rsidRPr="006F7BA4" w14:paraId="7F550569" w14:textId="77777777" w:rsidTr="00066E0F">
        <w:tc>
          <w:tcPr>
            <w:tcW w:w="495" w:type="dxa"/>
          </w:tcPr>
          <w:p w14:paraId="766B687B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6.</w:t>
            </w:r>
          </w:p>
        </w:tc>
        <w:tc>
          <w:tcPr>
            <w:tcW w:w="8567" w:type="dxa"/>
          </w:tcPr>
          <w:p w14:paraId="11943F81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Sterowanie temperaturą niezależnie dla każdego stanowiska reakcyjnego</w:t>
            </w:r>
          </w:p>
        </w:tc>
      </w:tr>
      <w:tr w:rsidR="006F7BA4" w:rsidRPr="006F7BA4" w14:paraId="332992AE" w14:textId="77777777" w:rsidTr="00066E0F">
        <w:tc>
          <w:tcPr>
            <w:tcW w:w="495" w:type="dxa"/>
          </w:tcPr>
          <w:p w14:paraId="7BBD8D45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7.</w:t>
            </w:r>
          </w:p>
        </w:tc>
        <w:tc>
          <w:tcPr>
            <w:tcW w:w="8567" w:type="dxa"/>
          </w:tcPr>
          <w:p w14:paraId="31E18149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Każde stanowisko reakcyjne wyposażone w mieszadło magnetyczne</w:t>
            </w:r>
          </w:p>
        </w:tc>
      </w:tr>
      <w:tr w:rsidR="006F7BA4" w:rsidRPr="006F7BA4" w14:paraId="134AE870" w14:textId="77777777" w:rsidTr="00066E0F">
        <w:tc>
          <w:tcPr>
            <w:tcW w:w="495" w:type="dxa"/>
          </w:tcPr>
          <w:p w14:paraId="5CECE9C9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8.</w:t>
            </w:r>
          </w:p>
        </w:tc>
        <w:tc>
          <w:tcPr>
            <w:tcW w:w="8567" w:type="dxa"/>
          </w:tcPr>
          <w:p w14:paraId="07D1B64A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Sterowanie mieszadła magnetycznego niezależne dla każdego stanowiska reakcyjnego</w:t>
            </w:r>
          </w:p>
        </w:tc>
      </w:tr>
      <w:tr w:rsidR="006F7BA4" w:rsidRPr="006F7BA4" w14:paraId="134BF59A" w14:textId="77777777" w:rsidTr="00066E0F">
        <w:tc>
          <w:tcPr>
            <w:tcW w:w="495" w:type="dxa"/>
          </w:tcPr>
          <w:p w14:paraId="3BC3C2F7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9.</w:t>
            </w:r>
          </w:p>
        </w:tc>
        <w:tc>
          <w:tcPr>
            <w:tcW w:w="8567" w:type="dxa"/>
          </w:tcPr>
          <w:p w14:paraId="601B52FF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Zakres regulacji obrotów mieszadła magnetycznego minimum 100 do 1500 obrotów na minutę</w:t>
            </w:r>
          </w:p>
        </w:tc>
      </w:tr>
      <w:tr w:rsidR="006F7BA4" w:rsidRPr="006F7BA4" w14:paraId="6DCF3962" w14:textId="77777777" w:rsidTr="00066E0F">
        <w:tc>
          <w:tcPr>
            <w:tcW w:w="495" w:type="dxa"/>
          </w:tcPr>
          <w:p w14:paraId="6419DD2D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10.</w:t>
            </w:r>
          </w:p>
        </w:tc>
        <w:tc>
          <w:tcPr>
            <w:tcW w:w="8567" w:type="dxa"/>
          </w:tcPr>
          <w:p w14:paraId="4F46E515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Maksymalna szybkość ogrzewania stanowiska reakcyjnego minimum 30 °C/min</w:t>
            </w:r>
          </w:p>
        </w:tc>
      </w:tr>
      <w:tr w:rsidR="006F7BA4" w:rsidRPr="006F7BA4" w14:paraId="747B15F1" w14:textId="77777777" w:rsidTr="00066E0F">
        <w:tc>
          <w:tcPr>
            <w:tcW w:w="495" w:type="dxa"/>
          </w:tcPr>
          <w:p w14:paraId="41D94DE0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11.</w:t>
            </w:r>
          </w:p>
        </w:tc>
        <w:tc>
          <w:tcPr>
            <w:tcW w:w="8567" w:type="dxa"/>
          </w:tcPr>
          <w:p w14:paraId="488D6C28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Maksymalna szybkość chłodzenia stanowiska reakcyjnego minimum 30 °C/min</w:t>
            </w:r>
          </w:p>
        </w:tc>
      </w:tr>
      <w:tr w:rsidR="006F7BA4" w:rsidRPr="006F7BA4" w14:paraId="48114D96" w14:textId="77777777" w:rsidTr="00066E0F">
        <w:tc>
          <w:tcPr>
            <w:tcW w:w="495" w:type="dxa"/>
          </w:tcPr>
          <w:p w14:paraId="3105AF78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12.</w:t>
            </w:r>
          </w:p>
        </w:tc>
        <w:tc>
          <w:tcPr>
            <w:tcW w:w="8567" w:type="dxa"/>
          </w:tcPr>
          <w:p w14:paraId="42295E3E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Chłodzenie i ogrzewanie stanowiska reakcyjnego realizowane za pomocą ogniw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Peltiera</w:t>
            </w:r>
            <w:proofErr w:type="spellEnd"/>
          </w:p>
        </w:tc>
      </w:tr>
      <w:tr w:rsidR="006F7BA4" w:rsidRPr="006F7BA4" w14:paraId="7514D022" w14:textId="77777777" w:rsidTr="00066E0F">
        <w:tc>
          <w:tcPr>
            <w:tcW w:w="495" w:type="dxa"/>
          </w:tcPr>
          <w:p w14:paraId="5ADA3DE5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13.</w:t>
            </w:r>
          </w:p>
        </w:tc>
        <w:tc>
          <w:tcPr>
            <w:tcW w:w="8567" w:type="dxa"/>
          </w:tcPr>
          <w:p w14:paraId="0185623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Stanowiska reakcyjne kompatybilne z naczyniami reakcyjnymi umożliwiającymi prowadzenie reakcji w objętości mieszaniny od 0.5 do 30 ml</w:t>
            </w:r>
          </w:p>
        </w:tc>
      </w:tr>
      <w:tr w:rsidR="006F7BA4" w:rsidRPr="006F7BA4" w14:paraId="2E76CE0E" w14:textId="77777777" w:rsidTr="00066E0F">
        <w:tc>
          <w:tcPr>
            <w:tcW w:w="495" w:type="dxa"/>
          </w:tcPr>
          <w:p w14:paraId="3A819C7E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14.</w:t>
            </w:r>
          </w:p>
        </w:tc>
        <w:tc>
          <w:tcPr>
            <w:tcW w:w="8567" w:type="dxa"/>
          </w:tcPr>
          <w:p w14:paraId="195D619F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Stanowiska reakcyjne kompatybilne z naczyniami ze szkła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borokrzemowego</w:t>
            </w:r>
            <w:proofErr w:type="spellEnd"/>
            <w:r w:rsidRPr="006F7BA4">
              <w:rPr>
                <w:rFonts w:cs="Arial"/>
                <w:color w:val="000000"/>
                <w:sz w:val="20"/>
                <w:szCs w:val="20"/>
              </w:rPr>
              <w:t>, teflonu lub aluminium</w:t>
            </w:r>
          </w:p>
        </w:tc>
      </w:tr>
      <w:tr w:rsidR="006F7BA4" w:rsidRPr="006F7BA4" w14:paraId="5222C35A" w14:textId="77777777" w:rsidTr="00066E0F">
        <w:tc>
          <w:tcPr>
            <w:tcW w:w="495" w:type="dxa"/>
          </w:tcPr>
          <w:p w14:paraId="1ECBB8E5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15.</w:t>
            </w:r>
          </w:p>
        </w:tc>
        <w:tc>
          <w:tcPr>
            <w:tcW w:w="8567" w:type="dxa"/>
          </w:tcPr>
          <w:p w14:paraId="0880D973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System reakcyjny wyposażony w rozwiązanie zapobiegające kondensacji wilgoci z powietrza</w:t>
            </w:r>
          </w:p>
        </w:tc>
      </w:tr>
      <w:tr w:rsidR="006F7BA4" w:rsidRPr="006F7BA4" w14:paraId="402D1670" w14:textId="77777777" w:rsidTr="00066E0F">
        <w:tc>
          <w:tcPr>
            <w:tcW w:w="495" w:type="dxa"/>
          </w:tcPr>
          <w:p w14:paraId="1AAD44D7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16.</w:t>
            </w:r>
          </w:p>
        </w:tc>
        <w:tc>
          <w:tcPr>
            <w:tcW w:w="8567" w:type="dxa"/>
          </w:tcPr>
          <w:p w14:paraId="0436AA3A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Moduł sterujący/zasilający najlepiej, gdyby stanowił oddzielną jednostkę od stacji roboczej</w:t>
            </w:r>
          </w:p>
        </w:tc>
      </w:tr>
      <w:tr w:rsidR="006F7BA4" w:rsidRPr="006F7BA4" w14:paraId="6D7900BD" w14:textId="77777777" w:rsidTr="00066E0F">
        <w:tc>
          <w:tcPr>
            <w:tcW w:w="495" w:type="dxa"/>
          </w:tcPr>
          <w:p w14:paraId="1CC29657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17.</w:t>
            </w:r>
          </w:p>
        </w:tc>
        <w:tc>
          <w:tcPr>
            <w:tcW w:w="8567" w:type="dxa"/>
          </w:tcPr>
          <w:p w14:paraId="700E3E4D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System reakcyjny sterowany z poziomu ekranu dotykowego</w:t>
            </w:r>
          </w:p>
        </w:tc>
      </w:tr>
      <w:tr w:rsidR="006F7BA4" w:rsidRPr="006F7BA4" w14:paraId="46257478" w14:textId="77777777" w:rsidTr="00066E0F">
        <w:tc>
          <w:tcPr>
            <w:tcW w:w="495" w:type="dxa"/>
          </w:tcPr>
          <w:p w14:paraId="561E3ABC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18.</w:t>
            </w:r>
          </w:p>
        </w:tc>
        <w:tc>
          <w:tcPr>
            <w:tcW w:w="8567" w:type="dxa"/>
          </w:tcPr>
          <w:p w14:paraId="60C023AC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Urządzenie wyposażone w moduł do prowadzenia reakcji w atmosferze gazu obojętnego jednocześnie we wszystkich stanowiskach reakcyjnych.</w:t>
            </w:r>
          </w:p>
        </w:tc>
      </w:tr>
      <w:tr w:rsidR="006F7BA4" w:rsidRPr="006F7BA4" w14:paraId="417FA719" w14:textId="77777777" w:rsidTr="00066E0F">
        <w:tc>
          <w:tcPr>
            <w:tcW w:w="495" w:type="dxa"/>
          </w:tcPr>
          <w:p w14:paraId="25F20A85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19.</w:t>
            </w:r>
          </w:p>
        </w:tc>
        <w:tc>
          <w:tcPr>
            <w:tcW w:w="8567" w:type="dxa"/>
          </w:tcPr>
          <w:p w14:paraId="518A4B8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Możliwość rozbudowy systemu o moduł chłodnicy umożliwiającej jednoczesne prowadzenie reakcji we wszystkich stanowiskach reakcyjnych w temperaturze wrzenia rozpuszczalnika. Wymiary chłodnicy dostosowane do wymiarów stacji roboczej </w:t>
            </w:r>
          </w:p>
        </w:tc>
      </w:tr>
      <w:tr w:rsidR="006F7BA4" w:rsidRPr="006F7BA4" w14:paraId="6512FB6F" w14:textId="77777777" w:rsidTr="00066E0F">
        <w:tc>
          <w:tcPr>
            <w:tcW w:w="495" w:type="dxa"/>
          </w:tcPr>
          <w:p w14:paraId="593A40FF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20.</w:t>
            </w:r>
          </w:p>
        </w:tc>
        <w:tc>
          <w:tcPr>
            <w:tcW w:w="8567" w:type="dxa"/>
          </w:tcPr>
          <w:p w14:paraId="2ADC6B74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Możliwość podłączenia do urządzenia sond temperaturowych PT100 do monitorowania temperatury mieszaniny reakcyjnej bezpośrednio w naczyniu reakcyjnym niezależnie w każdym stanowisku reakcyjnym </w:t>
            </w:r>
          </w:p>
        </w:tc>
      </w:tr>
      <w:tr w:rsidR="006F7BA4" w:rsidRPr="006F7BA4" w14:paraId="5101F523" w14:textId="77777777" w:rsidTr="00066E0F">
        <w:tc>
          <w:tcPr>
            <w:tcW w:w="495" w:type="dxa"/>
          </w:tcPr>
          <w:p w14:paraId="2444B74E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21.</w:t>
            </w:r>
          </w:p>
        </w:tc>
        <w:tc>
          <w:tcPr>
            <w:tcW w:w="8567" w:type="dxa"/>
          </w:tcPr>
          <w:p w14:paraId="7B38E6FA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Możliwość bezprzewodowego sterowania urządzeniem</w:t>
            </w:r>
          </w:p>
        </w:tc>
      </w:tr>
      <w:tr w:rsidR="006F7BA4" w:rsidRPr="006F7BA4" w14:paraId="1E2A03A0" w14:textId="77777777" w:rsidTr="00066E0F">
        <w:tc>
          <w:tcPr>
            <w:tcW w:w="495" w:type="dxa"/>
          </w:tcPr>
          <w:p w14:paraId="53262458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22.</w:t>
            </w:r>
          </w:p>
        </w:tc>
        <w:tc>
          <w:tcPr>
            <w:tcW w:w="8567" w:type="dxa"/>
          </w:tcPr>
          <w:p w14:paraId="794D1BA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Możliwość sterowania urządzeniem z poziomu PC</w:t>
            </w:r>
          </w:p>
        </w:tc>
      </w:tr>
      <w:tr w:rsidR="006F7BA4" w:rsidRPr="006F7BA4" w14:paraId="66B5F1E2" w14:textId="77777777" w:rsidTr="00066E0F">
        <w:tc>
          <w:tcPr>
            <w:tcW w:w="495" w:type="dxa"/>
          </w:tcPr>
          <w:p w14:paraId="4CD9C8A5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23.</w:t>
            </w:r>
          </w:p>
        </w:tc>
        <w:tc>
          <w:tcPr>
            <w:tcW w:w="8567" w:type="dxa"/>
          </w:tcPr>
          <w:p w14:paraId="59F352A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Oprogramowanie systemu sterującego oparte o system operacyjny Windows</w:t>
            </w:r>
          </w:p>
        </w:tc>
      </w:tr>
      <w:tr w:rsidR="006F7BA4" w:rsidRPr="006F7BA4" w14:paraId="6F962C98" w14:textId="77777777" w:rsidTr="00066E0F">
        <w:tc>
          <w:tcPr>
            <w:tcW w:w="495" w:type="dxa"/>
          </w:tcPr>
          <w:p w14:paraId="6D0D4D8E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lastRenderedPageBreak/>
              <w:t>24.</w:t>
            </w:r>
          </w:p>
        </w:tc>
        <w:tc>
          <w:tcPr>
            <w:tcW w:w="8567" w:type="dxa"/>
          </w:tcPr>
          <w:p w14:paraId="3265345A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Urządzenie wyposażone w port USB, Ethernet, RS232 oraz obsługujące bezprzewodowe protokoły komunikacji</w:t>
            </w:r>
          </w:p>
        </w:tc>
      </w:tr>
      <w:tr w:rsidR="006F7BA4" w:rsidRPr="006F7BA4" w14:paraId="275022A3" w14:textId="77777777" w:rsidTr="00066E0F">
        <w:tc>
          <w:tcPr>
            <w:tcW w:w="495" w:type="dxa"/>
          </w:tcPr>
          <w:p w14:paraId="6F39C37E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25.</w:t>
            </w:r>
          </w:p>
        </w:tc>
        <w:tc>
          <w:tcPr>
            <w:tcW w:w="8567" w:type="dxa"/>
          </w:tcPr>
          <w:p w14:paraId="160DB7C8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Eksport danych w postaci plików graficznych, dokumentów Excel, CSV, PDF</w:t>
            </w:r>
          </w:p>
        </w:tc>
      </w:tr>
      <w:tr w:rsidR="006F7BA4" w:rsidRPr="006F7BA4" w14:paraId="64848F21" w14:textId="77777777" w:rsidTr="00066E0F">
        <w:tc>
          <w:tcPr>
            <w:tcW w:w="9062" w:type="dxa"/>
            <w:gridSpan w:val="2"/>
          </w:tcPr>
          <w:p w14:paraId="484D9CC8" w14:textId="77777777" w:rsidR="006F7BA4" w:rsidRPr="006F7BA4" w:rsidRDefault="006F7BA4" w:rsidP="006F7BA4">
            <w:pPr>
              <w:spacing w:before="240" w:after="240"/>
              <w:jc w:val="center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b/>
                <w:bCs/>
                <w:color w:val="000000"/>
                <w:sz w:val="20"/>
                <w:szCs w:val="20"/>
              </w:rPr>
              <w:t>Wymagania dla modułu do prowadzenia reakcji w atmosferze gazu obojętnego</w:t>
            </w:r>
          </w:p>
        </w:tc>
      </w:tr>
      <w:tr w:rsidR="006F7BA4" w:rsidRPr="006F7BA4" w14:paraId="62717918" w14:textId="77777777" w:rsidTr="00066E0F">
        <w:tc>
          <w:tcPr>
            <w:tcW w:w="495" w:type="dxa"/>
          </w:tcPr>
          <w:p w14:paraId="4C73C319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26.</w:t>
            </w:r>
          </w:p>
        </w:tc>
        <w:tc>
          <w:tcPr>
            <w:tcW w:w="8567" w:type="dxa"/>
          </w:tcPr>
          <w:p w14:paraId="1010755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Zakres ciśnień roboczych minimum -1 do 1 bar</w:t>
            </w:r>
          </w:p>
        </w:tc>
      </w:tr>
      <w:tr w:rsidR="006F7BA4" w:rsidRPr="006F7BA4" w14:paraId="4B8434F0" w14:textId="77777777" w:rsidTr="00066E0F">
        <w:tc>
          <w:tcPr>
            <w:tcW w:w="495" w:type="dxa"/>
          </w:tcPr>
          <w:p w14:paraId="363F714D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27.</w:t>
            </w:r>
          </w:p>
        </w:tc>
        <w:tc>
          <w:tcPr>
            <w:tcW w:w="8567" w:type="dxa"/>
          </w:tcPr>
          <w:p w14:paraId="3AEA59CF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Moduł kompatybilny z gazami: argon, azot, wodór, tlen, powietrze</w:t>
            </w:r>
          </w:p>
        </w:tc>
      </w:tr>
      <w:tr w:rsidR="006F7BA4" w:rsidRPr="006F7BA4" w14:paraId="1C3BD23B" w14:textId="77777777" w:rsidTr="00066E0F">
        <w:tc>
          <w:tcPr>
            <w:tcW w:w="495" w:type="dxa"/>
          </w:tcPr>
          <w:p w14:paraId="29EFB3C1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28.</w:t>
            </w:r>
          </w:p>
        </w:tc>
        <w:tc>
          <w:tcPr>
            <w:tcW w:w="8567" w:type="dxa"/>
          </w:tcPr>
          <w:p w14:paraId="6BCFC169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Moduł kompatybilny z chłodnicą zwrotną mogącą obsłużyć wszystkie stanowiska reakcyjne</w:t>
            </w:r>
          </w:p>
        </w:tc>
      </w:tr>
      <w:tr w:rsidR="006F7BA4" w:rsidRPr="006F7BA4" w14:paraId="3C2F3F13" w14:textId="77777777" w:rsidTr="00066E0F">
        <w:tc>
          <w:tcPr>
            <w:tcW w:w="495" w:type="dxa"/>
          </w:tcPr>
          <w:p w14:paraId="3DFCE94A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29.</w:t>
            </w:r>
          </w:p>
        </w:tc>
        <w:tc>
          <w:tcPr>
            <w:tcW w:w="8567" w:type="dxa"/>
          </w:tcPr>
          <w:p w14:paraId="2A8E9D24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Urządzenie posiada niezależne podłączenia do gazu obojętnego i do próżni</w:t>
            </w:r>
          </w:p>
        </w:tc>
      </w:tr>
      <w:tr w:rsidR="006F7BA4" w:rsidRPr="006F7BA4" w14:paraId="38CD4357" w14:textId="77777777" w:rsidTr="00066E0F">
        <w:tc>
          <w:tcPr>
            <w:tcW w:w="495" w:type="dxa"/>
          </w:tcPr>
          <w:p w14:paraId="7B93A34D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30.</w:t>
            </w:r>
          </w:p>
        </w:tc>
        <w:tc>
          <w:tcPr>
            <w:tcW w:w="8567" w:type="dxa"/>
          </w:tcPr>
          <w:p w14:paraId="69ECB449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Przełączanie pomiędzy gazem obojętnym a próżnią za pomocą dedykowanego zaworu</w:t>
            </w:r>
          </w:p>
        </w:tc>
      </w:tr>
      <w:tr w:rsidR="006F7BA4" w:rsidRPr="006F7BA4" w14:paraId="5FB2BC2C" w14:textId="77777777" w:rsidTr="00066E0F">
        <w:tc>
          <w:tcPr>
            <w:tcW w:w="495" w:type="dxa"/>
          </w:tcPr>
          <w:p w14:paraId="359D2CE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31.</w:t>
            </w:r>
          </w:p>
        </w:tc>
        <w:tc>
          <w:tcPr>
            <w:tcW w:w="8567" w:type="dxa"/>
          </w:tcPr>
          <w:p w14:paraId="69CFB07E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W komplecie minimum 10 naczyń reakcyjnych z kompletem nakrętek, węży i zatyczek kompatybilnych z modułem reakcyjnym</w:t>
            </w:r>
          </w:p>
        </w:tc>
      </w:tr>
      <w:tr w:rsidR="006F7BA4" w:rsidRPr="006F7BA4" w14:paraId="72057A7A" w14:textId="77777777" w:rsidTr="00066E0F">
        <w:tc>
          <w:tcPr>
            <w:tcW w:w="495" w:type="dxa"/>
          </w:tcPr>
          <w:p w14:paraId="66E9BB20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32.</w:t>
            </w:r>
          </w:p>
        </w:tc>
        <w:tc>
          <w:tcPr>
            <w:tcW w:w="8567" w:type="dxa"/>
          </w:tcPr>
          <w:p w14:paraId="2FBC9DFB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Obudowa modułu wykonana ze stali nierdzewnej</w:t>
            </w:r>
          </w:p>
        </w:tc>
      </w:tr>
      <w:tr w:rsidR="006F7BA4" w:rsidRPr="006F7BA4" w14:paraId="2DC9E3AD" w14:textId="77777777" w:rsidTr="00066E0F">
        <w:tc>
          <w:tcPr>
            <w:tcW w:w="9062" w:type="dxa"/>
            <w:gridSpan w:val="2"/>
          </w:tcPr>
          <w:p w14:paraId="5738816C" w14:textId="77777777" w:rsidR="006F7BA4" w:rsidRPr="006F7BA4" w:rsidRDefault="006F7BA4" w:rsidP="006F7BA4">
            <w:pPr>
              <w:spacing w:before="240" w:after="240"/>
              <w:jc w:val="center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b/>
                <w:color w:val="000000"/>
                <w:sz w:val="20"/>
                <w:szCs w:val="20"/>
              </w:rPr>
              <w:t>Wymagania ogólne</w:t>
            </w:r>
          </w:p>
        </w:tc>
      </w:tr>
      <w:tr w:rsidR="006F7BA4" w:rsidRPr="006F7BA4" w14:paraId="12FC8B7C" w14:textId="77777777" w:rsidTr="00066E0F">
        <w:tc>
          <w:tcPr>
            <w:tcW w:w="495" w:type="dxa"/>
          </w:tcPr>
          <w:p w14:paraId="35303CB7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33.</w:t>
            </w:r>
          </w:p>
        </w:tc>
        <w:tc>
          <w:tcPr>
            <w:tcW w:w="8567" w:type="dxa"/>
          </w:tcPr>
          <w:p w14:paraId="1695FC4B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Zasilanie 230V, 50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Hz</w:t>
            </w:r>
            <w:proofErr w:type="spellEnd"/>
          </w:p>
        </w:tc>
      </w:tr>
      <w:tr w:rsidR="006F7BA4" w:rsidRPr="006F7BA4" w14:paraId="78C0EB4E" w14:textId="77777777" w:rsidTr="00066E0F">
        <w:tc>
          <w:tcPr>
            <w:tcW w:w="495" w:type="dxa"/>
          </w:tcPr>
          <w:p w14:paraId="7D7FDD66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34.</w:t>
            </w:r>
          </w:p>
        </w:tc>
        <w:tc>
          <w:tcPr>
            <w:tcW w:w="8567" w:type="dxa"/>
          </w:tcPr>
          <w:p w14:paraId="2D5D8B97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Szkolenie z obsługi systemu i wyposażenia w zakresie prawidłowej obsługi i konserwacji</w:t>
            </w:r>
          </w:p>
        </w:tc>
      </w:tr>
      <w:tr w:rsidR="006F7BA4" w:rsidRPr="006F7BA4" w14:paraId="2184C4E4" w14:textId="77777777" w:rsidTr="00066E0F">
        <w:tc>
          <w:tcPr>
            <w:tcW w:w="495" w:type="dxa"/>
          </w:tcPr>
          <w:p w14:paraId="1C100C2B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35.</w:t>
            </w:r>
          </w:p>
        </w:tc>
        <w:tc>
          <w:tcPr>
            <w:tcW w:w="8567" w:type="dxa"/>
          </w:tcPr>
          <w:p w14:paraId="2EAF98C7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Minimum 12 miesięczna gwarancja </w:t>
            </w:r>
          </w:p>
        </w:tc>
      </w:tr>
      <w:tr w:rsidR="006F7BA4" w:rsidRPr="006F7BA4" w14:paraId="10B79BB7" w14:textId="77777777" w:rsidTr="00066E0F">
        <w:tc>
          <w:tcPr>
            <w:tcW w:w="495" w:type="dxa"/>
          </w:tcPr>
          <w:p w14:paraId="7D8213F3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36.</w:t>
            </w:r>
          </w:p>
        </w:tc>
        <w:tc>
          <w:tcPr>
            <w:tcW w:w="8567" w:type="dxa"/>
          </w:tcPr>
          <w:p w14:paraId="20A35198" w14:textId="32D3ED64" w:rsidR="006F7BA4" w:rsidRPr="006F7BA4" w:rsidRDefault="00B0024B" w:rsidP="006F7BA4">
            <w:pPr>
              <w:suppressAutoHyphens/>
              <w:jc w:val="both"/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C</w:t>
            </w:r>
            <w:r w:rsidR="006F7BA4" w:rsidRPr="006F7BA4">
              <w:rPr>
                <w:rFonts w:eastAsia="Times New Roman" w:cs="Arial"/>
                <w:sz w:val="20"/>
                <w:szCs w:val="20"/>
                <w:lang w:eastAsia="pl-PL"/>
              </w:rPr>
              <w:t xml:space="preserve">zas reakcji serwisu do 48 godzin od chwili zgłoszenia awarii. </w:t>
            </w:r>
          </w:p>
          <w:p w14:paraId="0244492B" w14:textId="347DF435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Czas naprawy do 14 dni.     </w:t>
            </w:r>
          </w:p>
        </w:tc>
      </w:tr>
    </w:tbl>
    <w:p w14:paraId="6EDD6B96" w14:textId="77777777" w:rsidR="006F7BA4" w:rsidRPr="006F7BA4" w:rsidRDefault="006F7BA4" w:rsidP="006F7BA4">
      <w:pPr>
        <w:spacing w:after="160" w:line="259" w:lineRule="auto"/>
        <w:rPr>
          <w:rFonts w:cs="Arial"/>
          <w:kern w:val="2"/>
          <w:sz w:val="20"/>
          <w:szCs w:val="20"/>
          <w14:ligatures w14:val="standardContextual"/>
        </w:rPr>
      </w:pPr>
    </w:p>
    <w:p w14:paraId="0F786775" w14:textId="08996BB7" w:rsidR="006F7BA4" w:rsidRPr="006F7BA4" w:rsidRDefault="006F7BA4" w:rsidP="006F7BA4">
      <w:pPr>
        <w:spacing w:after="160" w:line="259" w:lineRule="auto"/>
        <w:rPr>
          <w:rFonts w:cs="Arial"/>
          <w:kern w:val="2"/>
          <w:sz w:val="20"/>
          <w:szCs w:val="20"/>
          <w14:ligatures w14:val="standardContextual"/>
        </w:rPr>
      </w:pPr>
      <w:r w:rsidRPr="006F7BA4">
        <w:rPr>
          <w:rFonts w:cs="Arial"/>
          <w:kern w:val="2"/>
          <w:sz w:val="20"/>
          <w:szCs w:val="20"/>
          <w14:ligatures w14:val="standardContextual"/>
        </w:rPr>
        <w:br w:type="page"/>
      </w:r>
      <w:r w:rsidRPr="006F7BA4">
        <w:rPr>
          <w:rFonts w:cs="Arial"/>
          <w:b/>
          <w:bCs/>
          <w:kern w:val="2"/>
          <w:sz w:val="20"/>
          <w:szCs w:val="20"/>
          <w14:ligatures w14:val="standardContextual"/>
        </w:rPr>
        <w:lastRenderedPageBreak/>
        <w:t>2</w:t>
      </w:r>
      <w:r w:rsidRPr="006F7BA4">
        <w:rPr>
          <w:rFonts w:cs="Arial"/>
          <w:b/>
          <w:bCs/>
          <w:color w:val="000000"/>
          <w:kern w:val="2"/>
          <w:sz w:val="20"/>
          <w:szCs w:val="20"/>
          <w14:ligatures w14:val="standardContextual"/>
        </w:rPr>
        <w:t>.</w:t>
      </w:r>
      <w:r w:rsidRPr="006F7BA4">
        <w:rPr>
          <w:rFonts w:cs="Arial"/>
          <w:b/>
          <w:color w:val="000000"/>
          <w:kern w:val="2"/>
          <w:sz w:val="20"/>
          <w:szCs w:val="20"/>
          <w14:ligatures w14:val="standardContextual"/>
        </w:rPr>
        <w:t xml:space="preserve"> Pompa </w:t>
      </w:r>
      <w:proofErr w:type="spellStart"/>
      <w:r w:rsidRPr="006F7BA4">
        <w:rPr>
          <w:rFonts w:cs="Arial"/>
          <w:b/>
          <w:color w:val="000000"/>
          <w:kern w:val="2"/>
          <w:sz w:val="20"/>
          <w:szCs w:val="20"/>
          <w14:ligatures w14:val="standardContextual"/>
        </w:rPr>
        <w:t>strzykawkowa</w:t>
      </w:r>
      <w:proofErr w:type="spellEnd"/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495"/>
        <w:gridCol w:w="8567"/>
      </w:tblGrid>
      <w:tr w:rsidR="006F7BA4" w:rsidRPr="006F7BA4" w14:paraId="76461D4F" w14:textId="77777777" w:rsidTr="00066E0F">
        <w:tc>
          <w:tcPr>
            <w:tcW w:w="495" w:type="dxa"/>
          </w:tcPr>
          <w:p w14:paraId="1925B1B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8567" w:type="dxa"/>
          </w:tcPr>
          <w:p w14:paraId="561ECA5C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Pompa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strzykawkowa</w:t>
            </w:r>
            <w:proofErr w:type="spellEnd"/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 wyposażona w dwa kanały umożliwiające dozowanie dwóch różnych cieczy</w:t>
            </w:r>
          </w:p>
        </w:tc>
      </w:tr>
      <w:tr w:rsidR="006F7BA4" w:rsidRPr="006F7BA4" w14:paraId="76941EF0" w14:textId="77777777" w:rsidTr="00066E0F">
        <w:tc>
          <w:tcPr>
            <w:tcW w:w="495" w:type="dxa"/>
          </w:tcPr>
          <w:p w14:paraId="7ADF637F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8567" w:type="dxa"/>
          </w:tcPr>
          <w:p w14:paraId="66F8EC74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Dozowanie cieczy w sposób ciągły bez przerwy związanej z napełnianiem strzykawki</w:t>
            </w:r>
          </w:p>
        </w:tc>
      </w:tr>
      <w:tr w:rsidR="006F7BA4" w:rsidRPr="006F7BA4" w14:paraId="1BB6D4AF" w14:textId="77777777" w:rsidTr="00066E0F">
        <w:tc>
          <w:tcPr>
            <w:tcW w:w="495" w:type="dxa"/>
          </w:tcPr>
          <w:p w14:paraId="2B73E69C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8567" w:type="dxa"/>
          </w:tcPr>
          <w:p w14:paraId="1862A73F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Możliwość poboru próbki z naczynia reakcyjnego</w:t>
            </w:r>
          </w:p>
        </w:tc>
      </w:tr>
      <w:tr w:rsidR="006F7BA4" w:rsidRPr="006F7BA4" w14:paraId="62912ED0" w14:textId="77777777" w:rsidTr="00066E0F">
        <w:tc>
          <w:tcPr>
            <w:tcW w:w="495" w:type="dxa"/>
          </w:tcPr>
          <w:p w14:paraId="500A0B46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8567" w:type="dxa"/>
          </w:tcPr>
          <w:p w14:paraId="2C5F642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Dozowanie cieczy w oparciu o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pH</w:t>
            </w:r>
            <w:proofErr w:type="spellEnd"/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 mierzone za pomocą sondy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pH</w:t>
            </w:r>
            <w:proofErr w:type="spellEnd"/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 podłączonej bezpośrednio do pompy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strzykawkowej</w:t>
            </w:r>
            <w:proofErr w:type="spellEnd"/>
          </w:p>
        </w:tc>
      </w:tr>
      <w:tr w:rsidR="006F7BA4" w:rsidRPr="006F7BA4" w14:paraId="633B235E" w14:textId="77777777" w:rsidTr="00066E0F">
        <w:tc>
          <w:tcPr>
            <w:tcW w:w="495" w:type="dxa"/>
          </w:tcPr>
          <w:p w14:paraId="76BDBFD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5.</w:t>
            </w:r>
          </w:p>
        </w:tc>
        <w:tc>
          <w:tcPr>
            <w:tcW w:w="8567" w:type="dxa"/>
          </w:tcPr>
          <w:p w14:paraId="6874C875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Dozowanie cieczy w oparciu o temperaturę mierzoną za pomocą sondy temperaturowej podłączonej bezpośrednio do pompy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strzykawkowej</w:t>
            </w:r>
            <w:proofErr w:type="spellEnd"/>
          </w:p>
        </w:tc>
      </w:tr>
      <w:tr w:rsidR="006F7BA4" w:rsidRPr="006F7BA4" w14:paraId="5A81D31E" w14:textId="77777777" w:rsidTr="00066E0F">
        <w:tc>
          <w:tcPr>
            <w:tcW w:w="495" w:type="dxa"/>
          </w:tcPr>
          <w:p w14:paraId="6EC8B871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6.</w:t>
            </w:r>
          </w:p>
        </w:tc>
        <w:tc>
          <w:tcPr>
            <w:tcW w:w="8567" w:type="dxa"/>
          </w:tcPr>
          <w:p w14:paraId="2558CB73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System sterowania wbudowany w pompę nie wymagający komputera do działania</w:t>
            </w:r>
          </w:p>
        </w:tc>
      </w:tr>
      <w:tr w:rsidR="006F7BA4" w:rsidRPr="006F7BA4" w14:paraId="6D158EA1" w14:textId="77777777" w:rsidTr="00066E0F">
        <w:tc>
          <w:tcPr>
            <w:tcW w:w="495" w:type="dxa"/>
          </w:tcPr>
          <w:p w14:paraId="418D05A8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7.</w:t>
            </w:r>
          </w:p>
        </w:tc>
        <w:tc>
          <w:tcPr>
            <w:tcW w:w="8567" w:type="dxa"/>
          </w:tcPr>
          <w:p w14:paraId="5A1EDD1D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Możliwość zainstalowania na kanale pompy zaworów posiadających 2, 3, 4, 5 lub 6 portów. Każdy z portów można zdefiniować jako port wejściowy lub wyjściowy dla pompowanej cieczy</w:t>
            </w:r>
          </w:p>
        </w:tc>
      </w:tr>
      <w:tr w:rsidR="006F7BA4" w:rsidRPr="006F7BA4" w14:paraId="3FBB0888" w14:textId="77777777" w:rsidTr="00066E0F">
        <w:tc>
          <w:tcPr>
            <w:tcW w:w="495" w:type="dxa"/>
          </w:tcPr>
          <w:p w14:paraId="6F0DA24F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8.</w:t>
            </w:r>
          </w:p>
        </w:tc>
        <w:tc>
          <w:tcPr>
            <w:tcW w:w="8567" w:type="dxa"/>
          </w:tcPr>
          <w:p w14:paraId="79189939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Pompa wyposażona w 6 portowy zawór</w:t>
            </w:r>
          </w:p>
        </w:tc>
      </w:tr>
      <w:tr w:rsidR="006F7BA4" w:rsidRPr="006F7BA4" w14:paraId="68128DC7" w14:textId="77777777" w:rsidTr="00066E0F">
        <w:tc>
          <w:tcPr>
            <w:tcW w:w="495" w:type="dxa"/>
          </w:tcPr>
          <w:p w14:paraId="054327BF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9.</w:t>
            </w:r>
          </w:p>
        </w:tc>
        <w:tc>
          <w:tcPr>
            <w:tcW w:w="8567" w:type="dxa"/>
          </w:tcPr>
          <w:p w14:paraId="7C5871CC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Dozowanie do 5 substancji do jednego naczynia z jednego kanału dozującego lub dozowania jednego odczynnika do pięciu naczyń z jednego kanału dozującego</w:t>
            </w:r>
          </w:p>
        </w:tc>
      </w:tr>
      <w:tr w:rsidR="006F7BA4" w:rsidRPr="006F7BA4" w14:paraId="6475F29B" w14:textId="77777777" w:rsidTr="00066E0F">
        <w:tc>
          <w:tcPr>
            <w:tcW w:w="495" w:type="dxa"/>
          </w:tcPr>
          <w:p w14:paraId="2AD5F013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10.</w:t>
            </w:r>
          </w:p>
        </w:tc>
        <w:tc>
          <w:tcPr>
            <w:tcW w:w="8567" w:type="dxa"/>
          </w:tcPr>
          <w:p w14:paraId="6C67C824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Zakres przepływu pompowanej cieczy minimum od 0.5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μl</w:t>
            </w:r>
            <w:proofErr w:type="spellEnd"/>
            <w:r w:rsidRPr="006F7BA4">
              <w:rPr>
                <w:rFonts w:cs="Arial"/>
                <w:color w:val="000000"/>
                <w:sz w:val="20"/>
                <w:szCs w:val="20"/>
              </w:rPr>
              <w:t>/min do 20 ml/min z dokładnością 0.2% zadanej wartości przepływu</w:t>
            </w:r>
          </w:p>
        </w:tc>
      </w:tr>
      <w:tr w:rsidR="006F7BA4" w:rsidRPr="006F7BA4" w14:paraId="315A9FB7" w14:textId="77777777" w:rsidTr="00066E0F">
        <w:tc>
          <w:tcPr>
            <w:tcW w:w="495" w:type="dxa"/>
          </w:tcPr>
          <w:p w14:paraId="1BE902F2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11.</w:t>
            </w:r>
          </w:p>
        </w:tc>
        <w:tc>
          <w:tcPr>
            <w:tcW w:w="8567" w:type="dxa"/>
          </w:tcPr>
          <w:p w14:paraId="5522C133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W zestawie minimum 2 strzykawki o pojemności 1 ml</w:t>
            </w:r>
          </w:p>
        </w:tc>
      </w:tr>
      <w:tr w:rsidR="006F7BA4" w:rsidRPr="006F7BA4" w14:paraId="4C17E045" w14:textId="77777777" w:rsidTr="00066E0F">
        <w:tc>
          <w:tcPr>
            <w:tcW w:w="495" w:type="dxa"/>
          </w:tcPr>
          <w:p w14:paraId="7CADEF51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12.</w:t>
            </w:r>
          </w:p>
        </w:tc>
        <w:tc>
          <w:tcPr>
            <w:tcW w:w="8567" w:type="dxa"/>
          </w:tcPr>
          <w:p w14:paraId="37C2ED56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Możliwość sterowania pompą za pomocą oprogramowania PC pozwalającego na tworzenie zaawansowanych profili dozowania</w:t>
            </w:r>
          </w:p>
        </w:tc>
      </w:tr>
      <w:tr w:rsidR="006F7BA4" w:rsidRPr="006F7BA4" w14:paraId="21BE6D97" w14:textId="77777777" w:rsidTr="00066E0F">
        <w:tc>
          <w:tcPr>
            <w:tcW w:w="495" w:type="dxa"/>
          </w:tcPr>
          <w:p w14:paraId="4B03A3B6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13.</w:t>
            </w:r>
          </w:p>
        </w:tc>
        <w:tc>
          <w:tcPr>
            <w:tcW w:w="8567" w:type="dxa"/>
          </w:tcPr>
          <w:p w14:paraId="65AC657E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Materiał zwilżanych części: szkło, PTFE lub PCFE</w:t>
            </w:r>
          </w:p>
        </w:tc>
      </w:tr>
      <w:tr w:rsidR="006F7BA4" w:rsidRPr="006F7BA4" w14:paraId="5007154D" w14:textId="77777777" w:rsidTr="00066E0F">
        <w:tc>
          <w:tcPr>
            <w:tcW w:w="495" w:type="dxa"/>
          </w:tcPr>
          <w:p w14:paraId="217EF307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14.</w:t>
            </w:r>
          </w:p>
        </w:tc>
        <w:tc>
          <w:tcPr>
            <w:tcW w:w="8567" w:type="dxa"/>
          </w:tcPr>
          <w:p w14:paraId="1E3E1DB9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Możliwość rozbudowy pompy o moduł pozwalający na przechowywanie i dozowanie substancji w atmosferze gazu obojętnego</w:t>
            </w:r>
          </w:p>
        </w:tc>
      </w:tr>
      <w:tr w:rsidR="006F7BA4" w:rsidRPr="006F7BA4" w14:paraId="7949F595" w14:textId="77777777" w:rsidTr="00066E0F">
        <w:tc>
          <w:tcPr>
            <w:tcW w:w="495" w:type="dxa"/>
          </w:tcPr>
          <w:p w14:paraId="3AC915AC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15.</w:t>
            </w:r>
          </w:p>
        </w:tc>
        <w:tc>
          <w:tcPr>
            <w:tcW w:w="8567" w:type="dxa"/>
          </w:tcPr>
          <w:p w14:paraId="4F513423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Możliwość podłączenia do pompy sondy temperaturowej,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pH</w:t>
            </w:r>
            <w:proofErr w:type="spellEnd"/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 oraz zmętnienia roztworu</w:t>
            </w:r>
          </w:p>
        </w:tc>
      </w:tr>
      <w:tr w:rsidR="006F7BA4" w:rsidRPr="006F7BA4" w14:paraId="2041D764" w14:textId="77777777" w:rsidTr="00066E0F">
        <w:tc>
          <w:tcPr>
            <w:tcW w:w="495" w:type="dxa"/>
          </w:tcPr>
          <w:p w14:paraId="255F5149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16.</w:t>
            </w:r>
          </w:p>
        </w:tc>
        <w:tc>
          <w:tcPr>
            <w:tcW w:w="8567" w:type="dxa"/>
          </w:tcPr>
          <w:p w14:paraId="54BE369C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>Rejestracja parametrów pracy pompy takich jak przepływ, ciśnienie oraz parametrów pochodzących od sond podłączonych do pompy. Możliwość eksportu danych w postaci pliku CSV</w:t>
            </w:r>
          </w:p>
        </w:tc>
      </w:tr>
      <w:tr w:rsidR="006F7BA4" w:rsidRPr="006F7BA4" w14:paraId="68FD0E5E" w14:textId="77777777" w:rsidTr="00066E0F">
        <w:tc>
          <w:tcPr>
            <w:tcW w:w="9062" w:type="dxa"/>
            <w:gridSpan w:val="2"/>
          </w:tcPr>
          <w:p w14:paraId="18F0CD34" w14:textId="77777777" w:rsidR="006F7BA4" w:rsidRPr="006F7BA4" w:rsidRDefault="006F7BA4" w:rsidP="006F7BA4">
            <w:pPr>
              <w:spacing w:before="240" w:after="240"/>
              <w:jc w:val="center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6F7BA4">
              <w:rPr>
                <w:rFonts w:cs="Arial"/>
                <w:b/>
                <w:bCs/>
                <w:color w:val="000000"/>
                <w:sz w:val="20"/>
                <w:szCs w:val="20"/>
              </w:rPr>
              <w:t>Wymagania ogólne</w:t>
            </w:r>
          </w:p>
        </w:tc>
      </w:tr>
      <w:tr w:rsidR="006F7BA4" w:rsidRPr="006F7BA4" w14:paraId="435DAEAF" w14:textId="77777777" w:rsidTr="00066E0F">
        <w:tc>
          <w:tcPr>
            <w:tcW w:w="495" w:type="dxa"/>
          </w:tcPr>
          <w:p w14:paraId="4F1D1B1E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17.</w:t>
            </w:r>
          </w:p>
        </w:tc>
        <w:tc>
          <w:tcPr>
            <w:tcW w:w="8567" w:type="dxa"/>
          </w:tcPr>
          <w:p w14:paraId="2AA6281D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Szkolenie z obsługi systemu i wyposażenia w zakresie prawidłowej obsługi </w:t>
            </w:r>
            <w:r w:rsidRPr="006F7BA4">
              <w:rPr>
                <w:rFonts w:cs="Arial"/>
                <w:color w:val="000000"/>
                <w:sz w:val="20"/>
                <w:szCs w:val="20"/>
              </w:rPr>
              <w:br/>
              <w:t>i konserwacji</w:t>
            </w:r>
          </w:p>
        </w:tc>
      </w:tr>
      <w:tr w:rsidR="006F7BA4" w:rsidRPr="006F7BA4" w14:paraId="7B3BFFEA" w14:textId="77777777" w:rsidTr="00066E0F">
        <w:tc>
          <w:tcPr>
            <w:tcW w:w="495" w:type="dxa"/>
          </w:tcPr>
          <w:p w14:paraId="7C035AB8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18.</w:t>
            </w:r>
          </w:p>
        </w:tc>
        <w:tc>
          <w:tcPr>
            <w:tcW w:w="8567" w:type="dxa"/>
          </w:tcPr>
          <w:p w14:paraId="27BC3B4F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Zasilanie 230V, 50 </w:t>
            </w:r>
            <w:proofErr w:type="spellStart"/>
            <w:r w:rsidRPr="006F7BA4">
              <w:rPr>
                <w:rFonts w:cs="Arial"/>
                <w:color w:val="000000"/>
                <w:sz w:val="20"/>
                <w:szCs w:val="20"/>
              </w:rPr>
              <w:t>Hz</w:t>
            </w:r>
            <w:proofErr w:type="spellEnd"/>
          </w:p>
        </w:tc>
      </w:tr>
      <w:tr w:rsidR="006F7BA4" w:rsidRPr="006F7BA4" w14:paraId="3DEF73BA" w14:textId="77777777" w:rsidTr="00066E0F">
        <w:tc>
          <w:tcPr>
            <w:tcW w:w="495" w:type="dxa"/>
          </w:tcPr>
          <w:p w14:paraId="47D5B961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19.</w:t>
            </w:r>
          </w:p>
        </w:tc>
        <w:tc>
          <w:tcPr>
            <w:tcW w:w="8567" w:type="dxa"/>
          </w:tcPr>
          <w:p w14:paraId="6D35A45D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color w:val="000000"/>
                <w:sz w:val="20"/>
                <w:szCs w:val="20"/>
              </w:rPr>
              <w:t xml:space="preserve">Minimum 12 miesięczna gwarancja </w:t>
            </w:r>
          </w:p>
        </w:tc>
      </w:tr>
      <w:tr w:rsidR="006F7BA4" w:rsidRPr="006F7BA4" w14:paraId="615C4F52" w14:textId="77777777" w:rsidTr="00066E0F">
        <w:tc>
          <w:tcPr>
            <w:tcW w:w="495" w:type="dxa"/>
          </w:tcPr>
          <w:p w14:paraId="26378ECC" w14:textId="77777777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sz w:val="20"/>
                <w:szCs w:val="20"/>
              </w:rPr>
              <w:t>20.</w:t>
            </w:r>
          </w:p>
        </w:tc>
        <w:tc>
          <w:tcPr>
            <w:tcW w:w="8567" w:type="dxa"/>
          </w:tcPr>
          <w:p w14:paraId="3D024F98" w14:textId="62D48453" w:rsidR="006F7BA4" w:rsidRPr="006F7BA4" w:rsidRDefault="006F7BA4" w:rsidP="006F7BA4">
            <w:pPr>
              <w:suppressAutoHyphens/>
              <w:jc w:val="both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6F7BA4">
              <w:rPr>
                <w:rFonts w:eastAsia="Times New Roman" w:cs="Arial"/>
                <w:sz w:val="20"/>
                <w:szCs w:val="20"/>
                <w:lang w:eastAsia="pl-PL"/>
              </w:rPr>
              <w:t xml:space="preserve">Czas reakcji serwisu do 48 godzin od chwili zgłoszenia awarii. </w:t>
            </w:r>
          </w:p>
          <w:p w14:paraId="3C6DF4FD" w14:textId="1CB45FAD" w:rsidR="006F7BA4" w:rsidRPr="006F7BA4" w:rsidRDefault="006F7BA4" w:rsidP="006F7BA4">
            <w:pPr>
              <w:spacing w:after="120"/>
              <w:jc w:val="both"/>
              <w:rPr>
                <w:rFonts w:cs="Arial"/>
                <w:sz w:val="20"/>
                <w:szCs w:val="20"/>
              </w:rPr>
            </w:pPr>
            <w:r w:rsidRPr="006F7BA4">
              <w:rPr>
                <w:rFonts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Czas naprawy do 14 dni.     </w:t>
            </w:r>
          </w:p>
        </w:tc>
      </w:tr>
    </w:tbl>
    <w:p w14:paraId="0F17B9A5" w14:textId="77777777" w:rsidR="006F7BA4" w:rsidRPr="006F7BA4" w:rsidRDefault="006F7BA4" w:rsidP="003167D8">
      <w:pPr>
        <w:rPr>
          <w:rFonts w:cs="Arial"/>
          <w:b/>
          <w:sz w:val="20"/>
          <w:szCs w:val="20"/>
        </w:rPr>
      </w:pPr>
    </w:p>
    <w:sectPr w:rsidR="006F7BA4" w:rsidRPr="006F7B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61E70"/>
    <w:multiLevelType w:val="multilevel"/>
    <w:tmpl w:val="C4964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79185E"/>
    <w:multiLevelType w:val="hybridMultilevel"/>
    <w:tmpl w:val="AD8C65B2"/>
    <w:lvl w:ilvl="0" w:tplc="0DD4C08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3D121E"/>
    <w:multiLevelType w:val="multilevel"/>
    <w:tmpl w:val="84D8C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613"/>
    <w:rsid w:val="000525EB"/>
    <w:rsid w:val="00134834"/>
    <w:rsid w:val="001F10DF"/>
    <w:rsid w:val="00242613"/>
    <w:rsid w:val="00251D2C"/>
    <w:rsid w:val="00292B5D"/>
    <w:rsid w:val="002F6081"/>
    <w:rsid w:val="003167D8"/>
    <w:rsid w:val="003919A3"/>
    <w:rsid w:val="003C616A"/>
    <w:rsid w:val="00685F8F"/>
    <w:rsid w:val="006F7BA4"/>
    <w:rsid w:val="006F7BFC"/>
    <w:rsid w:val="00754E73"/>
    <w:rsid w:val="00761BFD"/>
    <w:rsid w:val="008D7258"/>
    <w:rsid w:val="008F6CA6"/>
    <w:rsid w:val="00956F04"/>
    <w:rsid w:val="009B6D4F"/>
    <w:rsid w:val="009D7C60"/>
    <w:rsid w:val="00AB50D3"/>
    <w:rsid w:val="00B0024B"/>
    <w:rsid w:val="00B34911"/>
    <w:rsid w:val="00B44392"/>
    <w:rsid w:val="00B52673"/>
    <w:rsid w:val="00BB700B"/>
    <w:rsid w:val="00C70F74"/>
    <w:rsid w:val="00CB5F8D"/>
    <w:rsid w:val="00E034B9"/>
    <w:rsid w:val="00E371C8"/>
    <w:rsid w:val="00E8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A60C0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  <w:style w:type="table" w:styleId="Tabela-Siatka">
    <w:name w:val="Table Grid"/>
    <w:basedOn w:val="Standardowy"/>
    <w:uiPriority w:val="39"/>
    <w:rsid w:val="006F7BA4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F7B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7B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7BA4"/>
    <w:rPr>
      <w:rFonts w:ascii="Arial" w:hAnsi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7B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7BA4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F85F8-461E-4C38-8129-AFC4A04F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768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9</cp:revision>
  <dcterms:created xsi:type="dcterms:W3CDTF">2023-12-20T10:20:00Z</dcterms:created>
  <dcterms:modified xsi:type="dcterms:W3CDTF">2024-04-16T09:28:00Z</dcterms:modified>
</cp:coreProperties>
</file>