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2A9FFF22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FB1CBB" w:rsidRPr="00FB1CBB">
        <w:rPr>
          <w:rFonts w:ascii="Arial" w:hAnsi="Arial" w:cs="Arial"/>
          <w:b/>
        </w:rPr>
        <w:t xml:space="preserve">wielostanowiskowa stacja robocza do prowadzenia syntez równoległych oraz pompa </w:t>
      </w:r>
      <w:proofErr w:type="spellStart"/>
      <w:r w:rsidR="00FB1CBB" w:rsidRPr="00FB1CBB">
        <w:rPr>
          <w:rFonts w:ascii="Arial" w:hAnsi="Arial" w:cs="Arial"/>
          <w:b/>
        </w:rPr>
        <w:t>strzykawkowa</w:t>
      </w:r>
      <w:proofErr w:type="spellEnd"/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FB1CBB">
        <w:rPr>
          <w:rFonts w:ascii="Arial" w:hAnsi="Arial" w:cs="Arial"/>
          <w:b/>
          <w:u w:val="single"/>
        </w:rPr>
        <w:t>ZP3/1215/24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AA5EF96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ZP3/1215/24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27</cp:revision>
  <cp:lastPrinted>2022-07-15T07:20:00Z</cp:lastPrinted>
  <dcterms:created xsi:type="dcterms:W3CDTF">2022-05-06T13:11:00Z</dcterms:created>
  <dcterms:modified xsi:type="dcterms:W3CDTF">2024-04-15T11:56:00Z</dcterms:modified>
</cp:coreProperties>
</file>