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D72" w:rsidRPr="00CB6FEC" w:rsidRDefault="005B21BB" w:rsidP="00AC7B67">
      <w:pPr>
        <w:jc w:val="right"/>
        <w:rPr>
          <w:rFonts w:ascii="Arial" w:hAnsi="Arial" w:cs="Arial"/>
          <w:sz w:val="24"/>
          <w:szCs w:val="24"/>
        </w:rPr>
      </w:pPr>
      <w:bookmarkStart w:id="0" w:name="_GoBack"/>
      <w:bookmarkEnd w:id="0"/>
      <w:r w:rsidRPr="00CB6FEC">
        <w:rPr>
          <w:rFonts w:ascii="Arial" w:hAnsi="Arial" w:cs="Arial"/>
          <w:sz w:val="24"/>
          <w:szCs w:val="24"/>
        </w:rPr>
        <w:t>KRAKÓW</w:t>
      </w:r>
      <w:r w:rsidR="00554D72" w:rsidRPr="00CB6FEC">
        <w:rPr>
          <w:rFonts w:ascii="Arial" w:hAnsi="Arial" w:cs="Arial"/>
          <w:sz w:val="24"/>
          <w:szCs w:val="24"/>
        </w:rPr>
        <w:t xml:space="preserve"> dnia: </w:t>
      </w:r>
      <w:r w:rsidRPr="00CB6FEC">
        <w:rPr>
          <w:rFonts w:ascii="Arial" w:hAnsi="Arial" w:cs="Arial"/>
          <w:sz w:val="24"/>
          <w:szCs w:val="24"/>
        </w:rPr>
        <w:t>2024-0</w:t>
      </w:r>
      <w:r w:rsidR="00CB6FEC">
        <w:rPr>
          <w:rFonts w:ascii="Arial" w:hAnsi="Arial" w:cs="Arial"/>
          <w:sz w:val="24"/>
          <w:szCs w:val="24"/>
        </w:rPr>
        <w:t>5</w:t>
      </w:r>
      <w:r w:rsidRPr="00CB6FEC">
        <w:rPr>
          <w:rFonts w:ascii="Arial" w:hAnsi="Arial" w:cs="Arial"/>
          <w:sz w:val="24"/>
          <w:szCs w:val="24"/>
        </w:rPr>
        <w:t>-</w:t>
      </w:r>
      <w:r w:rsidR="00CB6FEC">
        <w:rPr>
          <w:rFonts w:ascii="Arial" w:hAnsi="Arial" w:cs="Arial"/>
          <w:sz w:val="24"/>
          <w:szCs w:val="24"/>
        </w:rPr>
        <w:t>08</w:t>
      </w:r>
    </w:p>
    <w:p w:rsidR="00AC7B67" w:rsidRPr="00CB6FEC" w:rsidRDefault="00AC7B67" w:rsidP="00AC7B67">
      <w:pPr>
        <w:rPr>
          <w:rFonts w:ascii="Arial" w:hAnsi="Arial" w:cs="Arial"/>
          <w:b/>
          <w:bCs/>
          <w:sz w:val="24"/>
          <w:szCs w:val="24"/>
        </w:rPr>
      </w:pPr>
    </w:p>
    <w:p w:rsidR="00AC7B67" w:rsidRPr="00CB6FEC" w:rsidRDefault="00AC7B67" w:rsidP="00AC7B67">
      <w:pPr>
        <w:rPr>
          <w:rFonts w:ascii="Arial" w:hAnsi="Arial" w:cs="Arial"/>
          <w:b/>
          <w:bCs/>
          <w:sz w:val="24"/>
          <w:szCs w:val="24"/>
        </w:rPr>
      </w:pPr>
    </w:p>
    <w:p w:rsidR="00554D72" w:rsidRPr="00CB6FEC" w:rsidRDefault="005B21BB" w:rsidP="00AC7B67">
      <w:pPr>
        <w:rPr>
          <w:rFonts w:ascii="Arial" w:hAnsi="Arial" w:cs="Arial"/>
          <w:b/>
          <w:bCs/>
          <w:sz w:val="24"/>
          <w:szCs w:val="24"/>
        </w:rPr>
      </w:pPr>
      <w:r w:rsidRPr="00CB6FEC">
        <w:rPr>
          <w:rFonts w:ascii="Arial" w:hAnsi="Arial" w:cs="Arial"/>
          <w:b/>
          <w:bCs/>
          <w:sz w:val="24"/>
          <w:szCs w:val="24"/>
        </w:rPr>
        <w:t>Politechnika Krakowska im. Tadeusza Kościuszki</w:t>
      </w:r>
    </w:p>
    <w:p w:rsidR="00554D72" w:rsidRPr="00CB6FEC" w:rsidRDefault="005B21BB" w:rsidP="00AC7B67">
      <w:pPr>
        <w:rPr>
          <w:rFonts w:ascii="Arial" w:hAnsi="Arial" w:cs="Arial"/>
          <w:b/>
          <w:sz w:val="24"/>
          <w:szCs w:val="24"/>
        </w:rPr>
      </w:pPr>
      <w:r w:rsidRPr="00CB6FEC">
        <w:rPr>
          <w:rFonts w:ascii="Arial" w:hAnsi="Arial" w:cs="Arial"/>
          <w:b/>
          <w:sz w:val="24"/>
          <w:szCs w:val="24"/>
        </w:rPr>
        <w:t>ul. Warszawska 24</w:t>
      </w:r>
      <w:r w:rsidR="00554D72" w:rsidRPr="00CB6FEC">
        <w:rPr>
          <w:rFonts w:ascii="Arial" w:hAnsi="Arial" w:cs="Arial"/>
          <w:b/>
          <w:sz w:val="24"/>
          <w:szCs w:val="24"/>
        </w:rPr>
        <w:t xml:space="preserve"> </w:t>
      </w:r>
    </w:p>
    <w:p w:rsidR="00554D72" w:rsidRPr="00CB6FEC" w:rsidRDefault="005B21BB" w:rsidP="00AC7B67">
      <w:pPr>
        <w:rPr>
          <w:rFonts w:ascii="Arial" w:hAnsi="Arial" w:cs="Arial"/>
          <w:b/>
          <w:sz w:val="24"/>
          <w:szCs w:val="24"/>
        </w:rPr>
      </w:pPr>
      <w:r w:rsidRPr="00CB6FEC">
        <w:rPr>
          <w:rFonts w:ascii="Arial" w:hAnsi="Arial" w:cs="Arial"/>
          <w:b/>
          <w:sz w:val="24"/>
          <w:szCs w:val="24"/>
        </w:rPr>
        <w:t>31-155</w:t>
      </w:r>
      <w:r w:rsidR="00554D72" w:rsidRPr="00CB6FEC">
        <w:rPr>
          <w:rFonts w:ascii="Arial" w:hAnsi="Arial" w:cs="Arial"/>
          <w:b/>
          <w:sz w:val="24"/>
          <w:szCs w:val="24"/>
        </w:rPr>
        <w:t xml:space="preserve"> </w:t>
      </w:r>
      <w:r w:rsidR="00AC7B67" w:rsidRPr="00CB6FEC">
        <w:rPr>
          <w:rFonts w:ascii="Arial" w:hAnsi="Arial" w:cs="Arial"/>
          <w:b/>
          <w:sz w:val="24"/>
          <w:szCs w:val="24"/>
        </w:rPr>
        <w:t>Kraków</w:t>
      </w:r>
    </w:p>
    <w:p w:rsidR="00AC7B67" w:rsidRPr="00CB6FEC" w:rsidRDefault="00AC7B67" w:rsidP="00AC7B67">
      <w:pPr>
        <w:rPr>
          <w:rFonts w:ascii="Arial" w:hAnsi="Arial" w:cs="Arial"/>
          <w:b/>
          <w:sz w:val="24"/>
          <w:szCs w:val="24"/>
        </w:rPr>
      </w:pPr>
    </w:p>
    <w:p w:rsidR="00554D72" w:rsidRPr="00CB6FEC" w:rsidRDefault="00554D72" w:rsidP="00AC7B67">
      <w:pPr>
        <w:tabs>
          <w:tab w:val="left" w:pos="708"/>
          <w:tab w:val="center" w:pos="4536"/>
          <w:tab w:val="right" w:pos="9072"/>
        </w:tabs>
        <w:ind w:left="4820"/>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AB5D68" w:rsidRPr="00CB6FEC" w:rsidTr="005869DA">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AD5E99" w:rsidRPr="00CB6FEC" w:rsidRDefault="00AD5E99" w:rsidP="00AC7B67">
            <w:pPr>
              <w:pStyle w:val="Nagwek1"/>
              <w:spacing w:before="0" w:after="0"/>
              <w:jc w:val="center"/>
              <w:rPr>
                <w:rFonts w:cs="Arial"/>
                <w:spacing w:val="60"/>
                <w:sz w:val="24"/>
                <w:szCs w:val="24"/>
              </w:rPr>
            </w:pPr>
            <w:r w:rsidRPr="00CB6FEC">
              <w:rPr>
                <w:rFonts w:cs="Arial"/>
                <w:spacing w:val="60"/>
                <w:sz w:val="24"/>
                <w:szCs w:val="24"/>
              </w:rPr>
              <w:t xml:space="preserve">WYJAŚNIENIA </w:t>
            </w:r>
            <w:r w:rsidRPr="00CB6FEC">
              <w:rPr>
                <w:rFonts w:cs="Arial"/>
                <w:b w:val="0"/>
                <w:spacing w:val="60"/>
                <w:sz w:val="24"/>
                <w:szCs w:val="24"/>
              </w:rPr>
              <w:t>treści</w:t>
            </w:r>
            <w:r w:rsidRPr="00CB6FEC">
              <w:rPr>
                <w:rFonts w:cs="Arial"/>
                <w:spacing w:val="60"/>
                <w:sz w:val="24"/>
                <w:szCs w:val="24"/>
              </w:rPr>
              <w:t xml:space="preserve"> </w:t>
            </w:r>
            <w:r w:rsidRPr="00CB6FEC">
              <w:rPr>
                <w:rFonts w:cs="Arial"/>
                <w:b w:val="0"/>
                <w:spacing w:val="60"/>
                <w:sz w:val="24"/>
                <w:szCs w:val="24"/>
              </w:rPr>
              <w:t>SWZ</w:t>
            </w:r>
            <w:r w:rsidRPr="00CB6FEC">
              <w:rPr>
                <w:rFonts w:cs="Arial"/>
                <w:spacing w:val="60"/>
                <w:sz w:val="24"/>
                <w:szCs w:val="24"/>
              </w:rPr>
              <w:t xml:space="preserve"> </w:t>
            </w:r>
          </w:p>
          <w:p w:rsidR="00AD5E99" w:rsidRPr="00CB6FEC" w:rsidRDefault="00AD5E99" w:rsidP="00AC7B67">
            <w:pPr>
              <w:pStyle w:val="Nagwek1"/>
              <w:spacing w:before="0" w:after="0"/>
              <w:jc w:val="center"/>
              <w:rPr>
                <w:rFonts w:cs="Arial"/>
                <w:spacing w:val="60"/>
                <w:sz w:val="24"/>
                <w:szCs w:val="24"/>
              </w:rPr>
            </w:pPr>
            <w:r w:rsidRPr="00CB6FEC">
              <w:rPr>
                <w:rFonts w:cs="Arial"/>
                <w:b w:val="0"/>
                <w:spacing w:val="60"/>
                <w:sz w:val="24"/>
                <w:szCs w:val="24"/>
              </w:rPr>
              <w:t>oraz</w:t>
            </w:r>
            <w:r w:rsidRPr="00CB6FEC">
              <w:rPr>
                <w:rFonts w:cs="Arial"/>
                <w:spacing w:val="60"/>
                <w:sz w:val="24"/>
                <w:szCs w:val="24"/>
              </w:rPr>
              <w:t xml:space="preserve"> </w:t>
            </w:r>
          </w:p>
          <w:p w:rsidR="00AB5D68" w:rsidRPr="00CB6FEC" w:rsidRDefault="00AB5D68" w:rsidP="00AD5E99">
            <w:pPr>
              <w:pStyle w:val="Nagwek1"/>
              <w:spacing w:before="0" w:after="0"/>
              <w:jc w:val="center"/>
              <w:rPr>
                <w:rFonts w:cs="Arial"/>
                <w:sz w:val="24"/>
                <w:szCs w:val="24"/>
              </w:rPr>
            </w:pPr>
            <w:r w:rsidRPr="00CB6FEC">
              <w:rPr>
                <w:rFonts w:cs="Arial"/>
                <w:spacing w:val="60"/>
                <w:sz w:val="24"/>
                <w:szCs w:val="24"/>
              </w:rPr>
              <w:t>ZAWIADOMIENIE</w:t>
            </w:r>
            <w:r w:rsidR="00AD5E99" w:rsidRPr="00CB6FEC">
              <w:rPr>
                <w:rFonts w:cs="Arial"/>
                <w:spacing w:val="60"/>
                <w:sz w:val="24"/>
                <w:szCs w:val="24"/>
              </w:rPr>
              <w:t xml:space="preserve"> </w:t>
            </w:r>
            <w:r w:rsidRPr="00CB6FEC">
              <w:rPr>
                <w:rFonts w:cs="Arial"/>
                <w:b w:val="0"/>
                <w:sz w:val="24"/>
                <w:szCs w:val="24"/>
              </w:rPr>
              <w:t xml:space="preserve">o zmianie treści </w:t>
            </w:r>
            <w:r w:rsidR="00E32881" w:rsidRPr="00CB6FEC">
              <w:rPr>
                <w:rFonts w:cs="Arial"/>
                <w:b w:val="0"/>
                <w:bCs/>
                <w:sz w:val="24"/>
                <w:szCs w:val="24"/>
              </w:rPr>
              <w:t>SWZ</w:t>
            </w:r>
          </w:p>
        </w:tc>
      </w:tr>
    </w:tbl>
    <w:p w:rsidR="00EF1037" w:rsidRPr="00CB6FEC" w:rsidRDefault="00EF1037" w:rsidP="00AC7B67">
      <w:pPr>
        <w:pStyle w:val="Nagwek1"/>
        <w:spacing w:before="0" w:after="0"/>
        <w:rPr>
          <w:rFonts w:cs="Arial"/>
          <w:sz w:val="24"/>
          <w:szCs w:val="24"/>
        </w:rPr>
      </w:pPr>
    </w:p>
    <w:p w:rsidR="00554D72" w:rsidRPr="00CB6FEC" w:rsidRDefault="00554D72" w:rsidP="00AC7B67">
      <w:pPr>
        <w:jc w:val="both"/>
        <w:rPr>
          <w:rFonts w:ascii="Arial" w:eastAsia="Calibri" w:hAnsi="Arial" w:cs="Arial"/>
          <w:sz w:val="24"/>
          <w:szCs w:val="24"/>
          <w:lang w:eastAsia="en-US"/>
        </w:rPr>
      </w:pPr>
      <w:r w:rsidRPr="00CB6FEC">
        <w:rPr>
          <w:rFonts w:ascii="Arial" w:eastAsia="Calibri" w:hAnsi="Arial" w:cs="Arial"/>
          <w:sz w:val="24"/>
          <w:szCs w:val="24"/>
          <w:lang w:eastAsia="en-US"/>
        </w:rPr>
        <w:t xml:space="preserve">Dotyczy </w:t>
      </w:r>
      <w:r w:rsidRPr="00CB6FEC">
        <w:rPr>
          <w:rFonts w:ascii="Arial" w:hAnsi="Arial" w:cs="Arial"/>
          <w:sz w:val="24"/>
          <w:szCs w:val="24"/>
        </w:rPr>
        <w:t>postępowania o udzielenie zamówienia publicznego</w:t>
      </w:r>
      <w:r w:rsidRPr="00CB6FEC">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554D72" w:rsidRPr="00CB6FEC" w:rsidTr="00860A6D">
        <w:tc>
          <w:tcPr>
            <w:tcW w:w="2269" w:type="dxa"/>
            <w:shd w:val="clear" w:color="auto" w:fill="auto"/>
          </w:tcPr>
          <w:p w:rsidR="00554D72" w:rsidRPr="00CB6FEC" w:rsidRDefault="00554D72" w:rsidP="00AC7B67">
            <w:pPr>
              <w:tabs>
                <w:tab w:val="center" w:pos="4536"/>
                <w:tab w:val="right" w:pos="9072"/>
              </w:tabs>
              <w:ind w:left="-105"/>
              <w:jc w:val="both"/>
              <w:rPr>
                <w:rFonts w:ascii="Arial" w:hAnsi="Arial" w:cs="Arial"/>
                <w:sz w:val="24"/>
                <w:szCs w:val="24"/>
              </w:rPr>
            </w:pPr>
            <w:r w:rsidRPr="00CB6FEC">
              <w:rPr>
                <w:rFonts w:ascii="Arial" w:hAnsi="Arial" w:cs="Arial"/>
                <w:sz w:val="24"/>
                <w:szCs w:val="24"/>
              </w:rPr>
              <w:t>Nazwa zamówienia:</w:t>
            </w:r>
          </w:p>
        </w:tc>
        <w:tc>
          <w:tcPr>
            <w:tcW w:w="6803" w:type="dxa"/>
            <w:shd w:val="clear" w:color="auto" w:fill="auto"/>
          </w:tcPr>
          <w:p w:rsidR="00554D72" w:rsidRPr="00CB6FEC" w:rsidRDefault="005B21BB" w:rsidP="00AC7B67">
            <w:pPr>
              <w:tabs>
                <w:tab w:val="center" w:pos="4536"/>
                <w:tab w:val="right" w:pos="9072"/>
              </w:tabs>
              <w:jc w:val="both"/>
              <w:rPr>
                <w:rFonts w:ascii="Arial" w:hAnsi="Arial" w:cs="Arial"/>
                <w:bCs/>
                <w:sz w:val="24"/>
                <w:szCs w:val="24"/>
              </w:rPr>
            </w:pPr>
            <w:r w:rsidRPr="00CB6FEC">
              <w:rPr>
                <w:rFonts w:ascii="Arial" w:hAnsi="Arial" w:cs="Arial"/>
                <w:bCs/>
                <w:sz w:val="24"/>
                <w:szCs w:val="24"/>
              </w:rPr>
              <w:t>Świadczenie usług telekomunikacyjnych  w sieci telefonii komórkowej.</w:t>
            </w:r>
          </w:p>
        </w:tc>
      </w:tr>
      <w:tr w:rsidR="005B21BB" w:rsidRPr="00CB6FEC" w:rsidTr="00956A9A">
        <w:tc>
          <w:tcPr>
            <w:tcW w:w="2269" w:type="dxa"/>
            <w:shd w:val="clear" w:color="auto" w:fill="auto"/>
          </w:tcPr>
          <w:p w:rsidR="005B21BB" w:rsidRPr="00CB6FEC" w:rsidRDefault="005B21BB" w:rsidP="00AC7B67">
            <w:pPr>
              <w:tabs>
                <w:tab w:val="center" w:pos="4536"/>
                <w:tab w:val="right" w:pos="9072"/>
              </w:tabs>
              <w:ind w:left="-105" w:right="-115"/>
              <w:jc w:val="both"/>
              <w:rPr>
                <w:rFonts w:ascii="Arial" w:hAnsi="Arial" w:cs="Arial"/>
                <w:sz w:val="24"/>
                <w:szCs w:val="24"/>
              </w:rPr>
            </w:pPr>
            <w:r w:rsidRPr="00CB6FEC">
              <w:rPr>
                <w:rFonts w:ascii="Arial" w:hAnsi="Arial" w:cs="Arial"/>
                <w:sz w:val="24"/>
                <w:szCs w:val="24"/>
              </w:rPr>
              <w:t>Numer referencyjny:</w:t>
            </w:r>
          </w:p>
        </w:tc>
        <w:tc>
          <w:tcPr>
            <w:tcW w:w="6803" w:type="dxa"/>
            <w:shd w:val="clear" w:color="auto" w:fill="auto"/>
          </w:tcPr>
          <w:p w:rsidR="005B21BB" w:rsidRPr="00CB6FEC" w:rsidRDefault="005B21BB" w:rsidP="00AC7B67">
            <w:pPr>
              <w:tabs>
                <w:tab w:val="center" w:pos="4536"/>
                <w:tab w:val="right" w:pos="9072"/>
              </w:tabs>
              <w:jc w:val="both"/>
              <w:rPr>
                <w:rFonts w:ascii="Arial" w:hAnsi="Arial" w:cs="Arial"/>
                <w:bCs/>
                <w:sz w:val="24"/>
                <w:szCs w:val="24"/>
              </w:rPr>
            </w:pPr>
            <w:r w:rsidRPr="00CB6FEC">
              <w:rPr>
                <w:rFonts w:ascii="Arial" w:hAnsi="Arial" w:cs="Arial"/>
                <w:bCs/>
                <w:sz w:val="24"/>
                <w:szCs w:val="24"/>
              </w:rPr>
              <w:t>KA-2/031/2024</w:t>
            </w:r>
          </w:p>
        </w:tc>
      </w:tr>
    </w:tbl>
    <w:p w:rsidR="00AC7B67" w:rsidRPr="00CB6FEC" w:rsidRDefault="00AC7B67" w:rsidP="00AC7B67">
      <w:pPr>
        <w:jc w:val="both"/>
        <w:rPr>
          <w:rFonts w:ascii="Arial" w:hAnsi="Arial" w:cs="Arial"/>
          <w:sz w:val="24"/>
          <w:szCs w:val="24"/>
        </w:rPr>
      </w:pPr>
    </w:p>
    <w:p w:rsidR="00AC7B67" w:rsidRPr="00CB6FEC" w:rsidRDefault="00AC7B67" w:rsidP="00AC7B67">
      <w:pPr>
        <w:jc w:val="both"/>
        <w:rPr>
          <w:rFonts w:ascii="Arial" w:hAnsi="Arial" w:cs="Arial"/>
          <w:sz w:val="24"/>
          <w:szCs w:val="24"/>
        </w:rPr>
      </w:pPr>
    </w:p>
    <w:p w:rsidR="00EF1037" w:rsidRPr="00CB6FEC" w:rsidRDefault="001F225A" w:rsidP="00AC7B67">
      <w:pPr>
        <w:jc w:val="both"/>
        <w:rPr>
          <w:rFonts w:ascii="Arial" w:hAnsi="Arial" w:cs="Arial"/>
          <w:bCs/>
          <w:sz w:val="24"/>
          <w:szCs w:val="24"/>
          <w:highlight w:val="darkGray"/>
        </w:rPr>
      </w:pPr>
      <w:r w:rsidRPr="00CB6FEC">
        <w:rPr>
          <w:rFonts w:ascii="Arial" w:hAnsi="Arial" w:cs="Arial"/>
          <w:sz w:val="24"/>
          <w:szCs w:val="24"/>
        </w:rPr>
        <w:t xml:space="preserve">Zamawiający, </w:t>
      </w:r>
      <w:r w:rsidRPr="00CB6FEC">
        <w:rPr>
          <w:rFonts w:ascii="Arial" w:hAnsi="Arial" w:cs="Arial"/>
          <w:b/>
          <w:sz w:val="24"/>
          <w:szCs w:val="24"/>
        </w:rPr>
        <w:t>Politechnika Krakowska im. Tadeusza Kościuszki</w:t>
      </w:r>
      <w:r w:rsidRPr="00CB6FEC">
        <w:rPr>
          <w:rFonts w:ascii="Arial" w:hAnsi="Arial" w:cs="Arial"/>
          <w:sz w:val="24"/>
          <w:szCs w:val="24"/>
        </w:rPr>
        <w:t>, działając na podstawie art. 284 ust. 6 ustawy z dnia 11 września 2019 r. Prawo zamówień publicznych (</w:t>
      </w:r>
      <w:proofErr w:type="spellStart"/>
      <w:r w:rsidRPr="00CB6FEC">
        <w:rPr>
          <w:rFonts w:ascii="Arial" w:hAnsi="Arial" w:cs="Arial"/>
          <w:sz w:val="24"/>
          <w:szCs w:val="24"/>
        </w:rPr>
        <w:t>t.j</w:t>
      </w:r>
      <w:proofErr w:type="spellEnd"/>
      <w:r w:rsidRPr="00CB6FEC">
        <w:rPr>
          <w:rFonts w:ascii="Arial" w:hAnsi="Arial" w:cs="Arial"/>
          <w:sz w:val="24"/>
          <w:szCs w:val="24"/>
        </w:rPr>
        <w:t>. Dz. U. z 2023r. poz. 1605</w:t>
      </w:r>
      <w:r w:rsidR="001A126F">
        <w:rPr>
          <w:rFonts w:ascii="Arial" w:hAnsi="Arial" w:cs="Arial"/>
          <w:sz w:val="24"/>
          <w:szCs w:val="24"/>
        </w:rPr>
        <w:t>ze zm.</w:t>
      </w:r>
      <w:r w:rsidRPr="00CB6FEC">
        <w:rPr>
          <w:rFonts w:ascii="Arial" w:hAnsi="Arial" w:cs="Arial"/>
          <w:sz w:val="24"/>
          <w:szCs w:val="24"/>
        </w:rPr>
        <w:t>), udostępnia poniżej treść zapytań do Specyfikacji Warunków Zamówienia (</w:t>
      </w:r>
      <w:r w:rsidRPr="00CB6FEC">
        <w:rPr>
          <w:rFonts w:ascii="Arial" w:hAnsi="Arial" w:cs="Arial"/>
          <w:sz w:val="24"/>
          <w:szCs w:val="24"/>
          <w:lang w:eastAsia="ar-SA"/>
        </w:rPr>
        <w:t>zwanej dalej</w:t>
      </w:r>
      <w:r w:rsidRPr="00CB6FEC">
        <w:rPr>
          <w:rFonts w:ascii="Arial" w:hAnsi="Arial" w:cs="Arial"/>
          <w:b/>
          <w:sz w:val="24"/>
          <w:szCs w:val="24"/>
          <w:lang w:eastAsia="ar-SA"/>
        </w:rPr>
        <w:t xml:space="preserve"> </w:t>
      </w:r>
      <w:r w:rsidRPr="00CB6FEC">
        <w:rPr>
          <w:rFonts w:ascii="Arial" w:hAnsi="Arial" w:cs="Arial"/>
          <w:bCs/>
          <w:sz w:val="24"/>
          <w:szCs w:val="24"/>
          <w:lang w:eastAsia="ar-SA"/>
        </w:rPr>
        <w:t xml:space="preserve">”SWZ”) </w:t>
      </w:r>
      <w:r w:rsidRPr="00CB6FEC">
        <w:rPr>
          <w:rFonts w:ascii="Arial" w:hAnsi="Arial" w:cs="Arial"/>
          <w:sz w:val="24"/>
          <w:szCs w:val="24"/>
        </w:rPr>
        <w:t>wraz z wyjaśnieniami</w:t>
      </w:r>
      <w:r w:rsidR="00AC7B67" w:rsidRPr="00CB6FEC">
        <w:rPr>
          <w:rFonts w:ascii="Arial" w:hAnsi="Arial" w:cs="Arial"/>
          <w:bCs/>
          <w:sz w:val="24"/>
          <w:szCs w:val="24"/>
          <w:lang w:eastAsia="ar-SA"/>
        </w:rPr>
        <w:t xml:space="preserve"> oraz  </w:t>
      </w:r>
      <w:r w:rsidR="005C0930" w:rsidRPr="00CB6FEC">
        <w:rPr>
          <w:rFonts w:ascii="Arial" w:hAnsi="Arial" w:cs="Arial"/>
          <w:sz w:val="24"/>
          <w:szCs w:val="24"/>
        </w:rPr>
        <w:t xml:space="preserve">na podstawie art. </w:t>
      </w:r>
      <w:r w:rsidR="00F004A8" w:rsidRPr="00CB6FEC">
        <w:rPr>
          <w:rFonts w:ascii="Arial" w:hAnsi="Arial" w:cs="Arial"/>
          <w:sz w:val="24"/>
          <w:szCs w:val="24"/>
        </w:rPr>
        <w:t>286</w:t>
      </w:r>
      <w:r w:rsidR="005C0930" w:rsidRPr="00CB6FEC">
        <w:rPr>
          <w:rFonts w:ascii="Arial" w:hAnsi="Arial" w:cs="Arial"/>
          <w:sz w:val="24"/>
          <w:szCs w:val="24"/>
        </w:rPr>
        <w:t xml:space="preserve"> ust. 1 i </w:t>
      </w:r>
      <w:r w:rsidR="00F004A8" w:rsidRPr="00CB6FEC">
        <w:rPr>
          <w:rFonts w:ascii="Arial" w:hAnsi="Arial" w:cs="Arial"/>
          <w:sz w:val="24"/>
          <w:szCs w:val="24"/>
        </w:rPr>
        <w:t>7</w:t>
      </w:r>
      <w:r w:rsidR="005C0930" w:rsidRPr="00CB6FEC">
        <w:rPr>
          <w:rFonts w:ascii="Arial" w:hAnsi="Arial" w:cs="Arial"/>
          <w:sz w:val="24"/>
          <w:szCs w:val="24"/>
        </w:rPr>
        <w:t xml:space="preserve"> ustawy z dnia 11 września 2019r. Prawo zamówień publicznych </w:t>
      </w:r>
      <w:r w:rsidR="005B21BB" w:rsidRPr="00CB6FEC">
        <w:rPr>
          <w:rFonts w:ascii="Arial" w:hAnsi="Arial" w:cs="Arial"/>
          <w:sz w:val="24"/>
          <w:szCs w:val="24"/>
        </w:rPr>
        <w:t>(</w:t>
      </w:r>
      <w:proofErr w:type="spellStart"/>
      <w:r w:rsidR="005B21BB" w:rsidRPr="00CB6FEC">
        <w:rPr>
          <w:rFonts w:ascii="Arial" w:hAnsi="Arial" w:cs="Arial"/>
          <w:sz w:val="24"/>
          <w:szCs w:val="24"/>
        </w:rPr>
        <w:t>t.j</w:t>
      </w:r>
      <w:proofErr w:type="spellEnd"/>
      <w:r w:rsidR="005B21BB" w:rsidRPr="00CB6FEC">
        <w:rPr>
          <w:rFonts w:ascii="Arial" w:hAnsi="Arial" w:cs="Arial"/>
          <w:sz w:val="24"/>
          <w:szCs w:val="24"/>
        </w:rPr>
        <w:t>. Dz. U. z 2023r. poz. 1605)</w:t>
      </w:r>
      <w:r w:rsidR="005C0930" w:rsidRPr="00CB6FEC">
        <w:rPr>
          <w:rFonts w:ascii="Arial" w:hAnsi="Arial" w:cs="Arial"/>
          <w:sz w:val="24"/>
          <w:szCs w:val="24"/>
        </w:rPr>
        <w:t xml:space="preserve">, </w:t>
      </w:r>
      <w:r w:rsidR="00EB3650" w:rsidRPr="00CB6FEC">
        <w:rPr>
          <w:rFonts w:ascii="Arial" w:hAnsi="Arial" w:cs="Arial"/>
          <w:sz w:val="24"/>
          <w:szCs w:val="24"/>
        </w:rPr>
        <w:t xml:space="preserve">informuje o </w:t>
      </w:r>
      <w:r w:rsidR="005C0930" w:rsidRPr="00CB6FEC">
        <w:rPr>
          <w:rFonts w:ascii="Arial" w:hAnsi="Arial" w:cs="Arial"/>
          <w:sz w:val="24"/>
          <w:szCs w:val="24"/>
        </w:rPr>
        <w:t>dokon</w:t>
      </w:r>
      <w:r w:rsidR="00EB3650" w:rsidRPr="00CB6FEC">
        <w:rPr>
          <w:rFonts w:ascii="Arial" w:hAnsi="Arial" w:cs="Arial"/>
          <w:sz w:val="24"/>
          <w:szCs w:val="24"/>
        </w:rPr>
        <w:t>aniu</w:t>
      </w:r>
      <w:r w:rsidR="005C0930" w:rsidRPr="00CB6FEC">
        <w:rPr>
          <w:rFonts w:ascii="Arial" w:hAnsi="Arial" w:cs="Arial"/>
          <w:sz w:val="24"/>
          <w:szCs w:val="24"/>
        </w:rPr>
        <w:t xml:space="preserve"> </w:t>
      </w:r>
      <w:r w:rsidR="00460DC4" w:rsidRPr="00CB6FEC">
        <w:rPr>
          <w:rFonts w:ascii="Arial" w:hAnsi="Arial" w:cs="Arial"/>
          <w:sz w:val="24"/>
          <w:szCs w:val="24"/>
        </w:rPr>
        <w:t>zmian</w:t>
      </w:r>
      <w:r w:rsidR="005C0930" w:rsidRPr="00CB6FEC">
        <w:rPr>
          <w:rFonts w:ascii="Arial" w:hAnsi="Arial" w:cs="Arial"/>
          <w:sz w:val="24"/>
          <w:szCs w:val="24"/>
        </w:rPr>
        <w:t xml:space="preserve"> w z</w:t>
      </w:r>
      <w:r w:rsidR="00460DC4" w:rsidRPr="00CB6FEC">
        <w:rPr>
          <w:rFonts w:ascii="Arial" w:hAnsi="Arial" w:cs="Arial"/>
          <w:sz w:val="24"/>
          <w:szCs w:val="24"/>
        </w:rPr>
        <w:t>apis</w:t>
      </w:r>
      <w:r w:rsidR="005C0930" w:rsidRPr="00CB6FEC">
        <w:rPr>
          <w:rFonts w:ascii="Arial" w:hAnsi="Arial" w:cs="Arial"/>
          <w:sz w:val="24"/>
          <w:szCs w:val="24"/>
        </w:rPr>
        <w:t>ach</w:t>
      </w:r>
      <w:r w:rsidR="00460DC4" w:rsidRPr="00CB6FEC">
        <w:rPr>
          <w:rFonts w:ascii="Arial" w:hAnsi="Arial" w:cs="Arial"/>
          <w:sz w:val="24"/>
          <w:szCs w:val="24"/>
        </w:rPr>
        <w:t xml:space="preserve"> </w:t>
      </w:r>
      <w:r w:rsidR="00E32881" w:rsidRPr="00CB6FEC">
        <w:rPr>
          <w:rFonts w:ascii="Arial" w:hAnsi="Arial" w:cs="Arial"/>
          <w:sz w:val="24"/>
          <w:szCs w:val="24"/>
        </w:rPr>
        <w:t>SWZ</w:t>
      </w:r>
      <w:r w:rsidR="00AC7B67" w:rsidRPr="00CB6FEC">
        <w:rPr>
          <w:rFonts w:ascii="Arial" w:hAnsi="Arial" w:cs="Arial"/>
          <w:sz w:val="24"/>
          <w:szCs w:val="24"/>
        </w:rPr>
        <w:t>.</w:t>
      </w:r>
    </w:p>
    <w:p w:rsidR="00EF1037" w:rsidRPr="00CB6FEC" w:rsidRDefault="00EF1037" w:rsidP="00AD5E99">
      <w:pPr>
        <w:pStyle w:val="Tekstpodstawowy"/>
        <w:spacing w:line="240" w:lineRule="auto"/>
        <w:jc w:val="right"/>
        <w:rPr>
          <w:rFonts w:ascii="Arial" w:hAnsi="Arial" w:cs="Arial"/>
          <w:szCs w:val="24"/>
        </w:rPr>
      </w:pPr>
    </w:p>
    <w:p w:rsidR="008C064B" w:rsidRPr="00CB6FEC" w:rsidRDefault="00CA7407" w:rsidP="00CA7407">
      <w:pPr>
        <w:overflowPunct w:val="0"/>
        <w:autoSpaceDE w:val="0"/>
        <w:autoSpaceDN w:val="0"/>
        <w:adjustRightInd w:val="0"/>
        <w:jc w:val="center"/>
        <w:rPr>
          <w:rFonts w:ascii="Arial" w:hAnsi="Arial" w:cs="Arial"/>
          <w:b/>
          <w:sz w:val="24"/>
          <w:szCs w:val="24"/>
          <w:u w:val="single"/>
        </w:rPr>
      </w:pPr>
      <w:r w:rsidRPr="00CB6FEC">
        <w:rPr>
          <w:rFonts w:ascii="Arial" w:hAnsi="Arial" w:cs="Arial"/>
          <w:b/>
          <w:sz w:val="24"/>
          <w:szCs w:val="24"/>
          <w:u w:val="single"/>
        </w:rPr>
        <w:t>Pytania i odpowiedzi</w:t>
      </w:r>
    </w:p>
    <w:p w:rsidR="008C064B" w:rsidRPr="00CB6FEC" w:rsidRDefault="008C064B" w:rsidP="00AD5E99">
      <w:pPr>
        <w:overflowPunct w:val="0"/>
        <w:autoSpaceDE w:val="0"/>
        <w:autoSpaceDN w:val="0"/>
        <w:adjustRightInd w:val="0"/>
        <w:jc w:val="both"/>
        <w:rPr>
          <w:rFonts w:ascii="Arial" w:hAnsi="Arial" w:cs="Arial"/>
          <w:bCs/>
          <w:sz w:val="24"/>
          <w:szCs w:val="24"/>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bookmarkStart w:id="1" w:name="_Hlk165197398"/>
      <w:r w:rsidRPr="00CB6FEC">
        <w:rPr>
          <w:rFonts w:ascii="Arial" w:hAnsi="Arial" w:cs="Arial"/>
          <w:bCs/>
          <w:sz w:val="24"/>
          <w:szCs w:val="24"/>
        </w:rPr>
        <w:t xml:space="preserve">Pkt 4 OPZ lit a (a także lit b oraz lit c )– </w:t>
      </w:r>
      <w:bookmarkEnd w:id="1"/>
      <w:r w:rsidRPr="00CB6FEC">
        <w:rPr>
          <w:rFonts w:ascii="Arial" w:hAnsi="Arial" w:cs="Arial"/>
          <w:bCs/>
          <w:sz w:val="24"/>
          <w:szCs w:val="24"/>
        </w:rPr>
        <w:t xml:space="preserve">czy Zamawiający może wyjaśnić jak należy rozumieć to postanowienie „Zamawiający dopuszcza opłatę jednorazową za 1 sztukę aparatu telefonicznego w kwocie nie wyższej niż 1000,00 </w:t>
      </w:r>
      <w:proofErr w:type="spellStart"/>
      <w:r w:rsidRPr="00CB6FEC">
        <w:rPr>
          <w:rFonts w:ascii="Arial" w:hAnsi="Arial" w:cs="Arial"/>
          <w:bCs/>
          <w:sz w:val="24"/>
          <w:szCs w:val="24"/>
        </w:rPr>
        <w:t>zl</w:t>
      </w:r>
      <w:proofErr w:type="spellEnd"/>
      <w:r w:rsidRPr="00CB6FEC">
        <w:rPr>
          <w:rFonts w:ascii="Arial" w:hAnsi="Arial" w:cs="Arial"/>
          <w:bCs/>
          <w:sz w:val="24"/>
          <w:szCs w:val="24"/>
        </w:rPr>
        <w:t xml:space="preserve"> (odpowiednio 500 zł i 300 zł) ” – czy to znaczy, że za każdy aparat telefoniczny przewidziana jest zapłata nie wyższa niż 1000,00 zł (odpowiednio 500 zł i 300 zł)? Jeżeli tak, należy zauważyć, że Zamawiający wskazał cenę maksymalną, jakiej może żądać wykonawca za dane urządzenie. Zamawiający nie wskazał wprost, jaki będzie skutek zaoferowania cen wyższych niż określone przez zamawiającego. Mając jednak na uwadze, że postanowienia dot. cen maksymalnych stanowią element opisu przedmiotu zamówienia, należy wnioskować, że skutkiem zaoferowania cen wyższych niż maksymalne będzie odrzucenie oferty. Zgodnie z utrwalonym stanowiskiem w orzecznictwie, na gruncie prawa zamówień publicznych wskazuje się na brak możliwości ustalania cen maksymalnych przez zamawiających. Krajowa Izba Odwoławcza wielokrotnie dawała wyraz przekonaniu, iż ustawa Prawo zamówień publicznych sprzeciwia się ustalaniu cen przez Zamawiającego. „</w:t>
      </w:r>
      <w:r w:rsidRPr="00CB6FEC">
        <w:rPr>
          <w:rFonts w:ascii="Arial" w:hAnsi="Arial" w:cs="Arial"/>
          <w:bCs/>
          <w:i/>
          <w:sz w:val="24"/>
          <w:szCs w:val="24"/>
        </w:rPr>
        <w:t xml:space="preserve">Określenie ceny za realizację zamówienia, w tym również cen jednostkowych, jest uprawnieniem wykonawcy i efektem stosowanych przez niego strategii biznesowych i kalkulacji </w:t>
      </w:r>
      <w:proofErr w:type="spellStart"/>
      <w:r w:rsidRPr="00CB6FEC">
        <w:rPr>
          <w:rFonts w:ascii="Arial" w:hAnsi="Arial" w:cs="Arial"/>
          <w:bCs/>
          <w:i/>
          <w:sz w:val="24"/>
          <w:szCs w:val="24"/>
        </w:rPr>
        <w:t>ryzyk</w:t>
      </w:r>
      <w:proofErr w:type="spellEnd"/>
      <w:r w:rsidRPr="00CB6FEC">
        <w:rPr>
          <w:rFonts w:ascii="Arial" w:hAnsi="Arial" w:cs="Arial"/>
          <w:bCs/>
          <w:i/>
          <w:sz w:val="24"/>
          <w:szCs w:val="24"/>
        </w:rPr>
        <w:t xml:space="preserve"> z uwzględnieniem szeregu czynników, do których zaliczyć można ponoszone koszty, warunki rynkowe, oferty konkurentów i inne. </w:t>
      </w:r>
      <w:r w:rsidRPr="00CB6FEC">
        <w:rPr>
          <w:rFonts w:ascii="Arial" w:hAnsi="Arial" w:cs="Arial"/>
          <w:b/>
          <w:bCs/>
          <w:i/>
          <w:sz w:val="24"/>
          <w:szCs w:val="24"/>
        </w:rPr>
        <w:t xml:space="preserve">Zamawiający nie jest uprawniony do wpływania na treść oświadczenia woli wykonawcy poprzez narzucanie mu maksymalnej ceny, w tym również jednostkowej, za realizację zamówienia. </w:t>
      </w:r>
      <w:r w:rsidRPr="00CB6FEC">
        <w:rPr>
          <w:rFonts w:ascii="Arial" w:hAnsi="Arial" w:cs="Arial"/>
          <w:bCs/>
          <w:i/>
          <w:sz w:val="24"/>
          <w:szCs w:val="24"/>
        </w:rPr>
        <w:t xml:space="preserve">Z uwagi na to, że zamawiający nie ma kompetencji w zakresie kształtowania cen ofert, które zostaną złożone przez </w:t>
      </w:r>
      <w:r w:rsidRPr="00CB6FEC">
        <w:rPr>
          <w:rFonts w:ascii="Arial" w:hAnsi="Arial" w:cs="Arial"/>
          <w:bCs/>
          <w:i/>
          <w:sz w:val="24"/>
          <w:szCs w:val="24"/>
        </w:rPr>
        <w:lastRenderedPageBreak/>
        <w:t>wykonawców, czynność polegająca na narzuceniu maksymalnej ceny może być zakwalifikowana jako utrudniająca uczciwą konkurencję</w:t>
      </w:r>
      <w:r w:rsidRPr="00CB6FEC">
        <w:rPr>
          <w:rFonts w:ascii="Arial" w:hAnsi="Arial" w:cs="Arial"/>
          <w:bCs/>
          <w:sz w:val="24"/>
          <w:szCs w:val="24"/>
        </w:rPr>
        <w:t xml:space="preserve">”. (Wyrok KIO z dnia 31 lipca 2019 roku sygn. akt KIO 1382/19). Ustalenie przez Zamawiającego górnej granicy ceny wykracza poza kompetencje przyznane mu w ustawie Prawo zamówień publicznych. </w:t>
      </w:r>
      <w:r w:rsidRPr="00CB6FEC">
        <w:rPr>
          <w:rFonts w:ascii="Arial" w:hAnsi="Arial" w:cs="Arial"/>
          <w:b/>
          <w:bCs/>
          <w:sz w:val="24"/>
          <w:szCs w:val="24"/>
        </w:rPr>
        <w:t>„</w:t>
      </w:r>
      <w:r w:rsidRPr="00CB6FEC">
        <w:rPr>
          <w:rFonts w:ascii="Arial" w:hAnsi="Arial" w:cs="Arial"/>
          <w:b/>
          <w:bCs/>
          <w:i/>
          <w:sz w:val="24"/>
          <w:szCs w:val="24"/>
        </w:rPr>
        <w:t xml:space="preserve">Ustalenie ceny ofertowej należy do uprawnień wykonawcy, który dokonuje kalkulacji stosownie do okoliczności rynkowych i okoliczności dotyczących jego indywidualnej sytuacji oraz z uwzględnieniem własnej polityki biznesowej. Treść oświadczenia woli w zakresie ceny ofertowej nie może być narzucana przez Zamawiającego, </w:t>
      </w:r>
      <w:r w:rsidRPr="00CB6FEC">
        <w:rPr>
          <w:rFonts w:ascii="Arial" w:hAnsi="Arial" w:cs="Arial"/>
          <w:bCs/>
          <w:i/>
          <w:sz w:val="24"/>
          <w:szCs w:val="24"/>
        </w:rPr>
        <w:t xml:space="preserve">stanowiłoby to bowiem zaprzeczenie istocie postępowań przetargowych. Uprawnienia Zamawiającego do badania ceny oferty są ograniczone do takich kwestii jak badanie oferty pod kątem rażąco niskiej ceny (art. 90 ust. 1 i 1a ustawy </w:t>
      </w:r>
      <w:proofErr w:type="spellStart"/>
      <w:r w:rsidRPr="00CB6FEC">
        <w:rPr>
          <w:rFonts w:ascii="Arial" w:hAnsi="Arial" w:cs="Arial"/>
          <w:bCs/>
          <w:i/>
          <w:sz w:val="24"/>
          <w:szCs w:val="24"/>
        </w:rPr>
        <w:t>Pzp</w:t>
      </w:r>
      <w:proofErr w:type="spellEnd"/>
      <w:r w:rsidRPr="00CB6FEC">
        <w:rPr>
          <w:rFonts w:ascii="Arial" w:hAnsi="Arial" w:cs="Arial"/>
          <w:bCs/>
          <w:i/>
          <w:sz w:val="24"/>
          <w:szCs w:val="24"/>
        </w:rPr>
        <w:t xml:space="preserve">) czy pod kątem zgodności obliczenia ceny z wymogami SIWZ (art. 36 ust. 1 pkt 12 ustawy </w:t>
      </w:r>
      <w:proofErr w:type="spellStart"/>
      <w:r w:rsidRPr="00CB6FEC">
        <w:rPr>
          <w:rFonts w:ascii="Arial" w:hAnsi="Arial" w:cs="Arial"/>
          <w:bCs/>
          <w:i/>
          <w:sz w:val="24"/>
          <w:szCs w:val="24"/>
        </w:rPr>
        <w:t>Pzp</w:t>
      </w:r>
      <w:proofErr w:type="spellEnd"/>
      <w:r w:rsidRPr="00CB6FEC">
        <w:rPr>
          <w:rFonts w:ascii="Arial" w:hAnsi="Arial" w:cs="Arial"/>
          <w:bCs/>
          <w:i/>
          <w:sz w:val="24"/>
          <w:szCs w:val="24"/>
        </w:rPr>
        <w:t xml:space="preserve">), które to wymogi muszą jednak być ustalone w zgodzie z zasadami udzielania zamówień publicznych oraz z poszanowaniem wytycznych określonych w art. 29 ust. 1 i 2 ustawy </w:t>
      </w:r>
      <w:proofErr w:type="spellStart"/>
      <w:r w:rsidRPr="00CB6FEC">
        <w:rPr>
          <w:rFonts w:ascii="Arial" w:hAnsi="Arial" w:cs="Arial"/>
          <w:bCs/>
          <w:i/>
          <w:sz w:val="24"/>
          <w:szCs w:val="24"/>
        </w:rPr>
        <w:t>Pzp</w:t>
      </w:r>
      <w:proofErr w:type="spellEnd"/>
      <w:r w:rsidRPr="00CB6FEC">
        <w:rPr>
          <w:rFonts w:ascii="Arial" w:hAnsi="Arial" w:cs="Arial"/>
          <w:bCs/>
          <w:sz w:val="24"/>
          <w:szCs w:val="24"/>
        </w:rPr>
        <w:t>”. (Wyrok KIO z dnia 30 lipca 2019 roku sygn. akt KIO 1331/19).</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Zamawiający, wkraczając w wyłączne kompetencje </w:t>
      </w:r>
      <w:bookmarkStart w:id="2" w:name="_Hlk165198285"/>
      <w:r w:rsidRPr="00CB6FEC">
        <w:rPr>
          <w:rFonts w:ascii="Arial" w:hAnsi="Arial" w:cs="Arial"/>
          <w:bCs/>
          <w:sz w:val="24"/>
          <w:szCs w:val="24"/>
        </w:rPr>
        <w:t>wykonawcy do ustalenie wysokości oferowanych cen</w:t>
      </w:r>
      <w:bookmarkEnd w:id="2"/>
      <w:r w:rsidRPr="00CB6FEC">
        <w:rPr>
          <w:rFonts w:ascii="Arial" w:hAnsi="Arial" w:cs="Arial"/>
          <w:bCs/>
          <w:sz w:val="24"/>
          <w:szCs w:val="24"/>
        </w:rPr>
        <w:t xml:space="preserve"> narusza przepisy ustawy prawo zamówień publicznych dotyczące przygotowania dokumentacji postępowania w tym opisu przedmiotu zamówienia. Biorąc pod uwagę powyższe, wnosimy o wyjaśnienie czy zamawiający usunie z dokumentacji postępowania postanawianie dot. cen maksymalnych, jakich może żądać Wykonawca za dostawę urządzeń ? Wykonawca wnosi o wyjaśnienie, czy zamawiający wprowadzi do dokumentacji postępowania zmiany polegające na pozostawieniu wykonawcom swobody w kształtowaniu cen w oparciu o uwarunkowania rynkowe, własną kalkulację wykonawcy, oraz wymagania określone przez zamawiającego ?</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Odpowiedź</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W Pkt 4 OPZ lit a (a także lit b oraz lit c ) Zamawiający podał iż dopuszcza jednorazową</w:t>
      </w:r>
      <w:r w:rsidRPr="00CB6FEC">
        <w:rPr>
          <w:rFonts w:ascii="Arial" w:hAnsi="Arial" w:cs="Arial"/>
          <w:bCs/>
          <w:sz w:val="24"/>
          <w:szCs w:val="24"/>
        </w:rPr>
        <w:t xml:space="preserve"> </w:t>
      </w:r>
      <w:r w:rsidRPr="00CB6FEC">
        <w:rPr>
          <w:rFonts w:ascii="Arial" w:hAnsi="Arial" w:cs="Arial"/>
          <w:bCs/>
          <w:sz w:val="24"/>
          <w:szCs w:val="24"/>
          <w:u w:val="single"/>
        </w:rPr>
        <w:t xml:space="preserve">opłatę jednorazową za 1 sztukę aparatu telefonicznego w kwocie nie wyższej niż 1000,00 </w:t>
      </w:r>
      <w:proofErr w:type="spellStart"/>
      <w:r w:rsidRPr="00CB6FEC">
        <w:rPr>
          <w:rFonts w:ascii="Arial" w:hAnsi="Arial" w:cs="Arial"/>
          <w:bCs/>
          <w:sz w:val="24"/>
          <w:szCs w:val="24"/>
          <w:u w:val="single"/>
        </w:rPr>
        <w:t>zl</w:t>
      </w:r>
      <w:proofErr w:type="spellEnd"/>
      <w:r w:rsidRPr="00CB6FEC">
        <w:rPr>
          <w:rFonts w:ascii="Arial" w:hAnsi="Arial" w:cs="Arial"/>
          <w:bCs/>
          <w:sz w:val="24"/>
          <w:szCs w:val="24"/>
          <w:u w:val="single"/>
        </w:rPr>
        <w:t xml:space="preserve"> (odpowiednio 500 zł i 300 zł). Podane kwoty nie określają maksymalnej wartości urządzenia a jedynie są informacją dla Wykonawców mającą na celu</w:t>
      </w:r>
      <w:r w:rsidRPr="00CB6FEC">
        <w:rPr>
          <w:rFonts w:ascii="Arial" w:hAnsi="Arial" w:cs="Arial"/>
          <w:bCs/>
          <w:sz w:val="24"/>
          <w:szCs w:val="24"/>
        </w:rPr>
        <w:t xml:space="preserve"> </w:t>
      </w:r>
      <w:r w:rsidRPr="00CB6FEC">
        <w:rPr>
          <w:rFonts w:ascii="Arial" w:hAnsi="Arial" w:cs="Arial"/>
          <w:bCs/>
          <w:sz w:val="24"/>
          <w:szCs w:val="24"/>
          <w:u w:val="single"/>
        </w:rPr>
        <w:t>ustalenie wysokości oferowanych cen Zamawiający podtrzymuje zapisy OPZ.</w:t>
      </w:r>
    </w:p>
    <w:p w:rsidR="00CB6FEC" w:rsidRPr="00CB6FEC" w:rsidRDefault="00CB6FEC" w:rsidP="00CB6FEC">
      <w:pPr>
        <w:overflowPunct w:val="0"/>
        <w:autoSpaceDE w:val="0"/>
        <w:autoSpaceDN w:val="0"/>
        <w:adjustRightInd w:val="0"/>
        <w:jc w:val="both"/>
        <w:rPr>
          <w:rFonts w:ascii="Arial" w:hAnsi="Arial" w:cs="Arial"/>
          <w:bCs/>
          <w:sz w:val="24"/>
          <w:szCs w:val="24"/>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Stosownie do treści art. 56 ust. 3 pkt 1 -21 ustawy z dnia 16 lipca 2004 r. - Prawo telekomunikacyjne („</w:t>
      </w:r>
      <w:r w:rsidRPr="00CB6FEC">
        <w:rPr>
          <w:rFonts w:ascii="Arial" w:hAnsi="Arial" w:cs="Arial"/>
          <w:b/>
          <w:bCs/>
          <w:sz w:val="24"/>
          <w:szCs w:val="24"/>
        </w:rPr>
        <w:t>PT</w:t>
      </w:r>
      <w:r w:rsidRPr="00CB6FEC">
        <w:rPr>
          <w:rFonts w:ascii="Arial" w:hAnsi="Arial" w:cs="Arial"/>
          <w:bCs/>
          <w:sz w:val="24"/>
          <w:szCs w:val="24"/>
        </w:rPr>
        <w:t xml:space="preserve">”), umowa o świadczenie publicznie dostępnych usług telekomunikacyjnych powinna </w:t>
      </w:r>
      <w:r w:rsidRPr="00CB6FEC">
        <w:rPr>
          <w:rFonts w:ascii="Arial" w:hAnsi="Arial" w:cs="Arial"/>
          <w:b/>
          <w:bCs/>
          <w:sz w:val="24"/>
          <w:szCs w:val="24"/>
          <w:u w:val="single"/>
        </w:rPr>
        <w:t>w szczególności</w:t>
      </w:r>
      <w:r w:rsidRPr="00CB6FEC">
        <w:rPr>
          <w:rFonts w:ascii="Arial" w:hAnsi="Arial" w:cs="Arial"/>
          <w:b/>
          <w:bCs/>
          <w:sz w:val="24"/>
          <w:szCs w:val="24"/>
        </w:rPr>
        <w:t xml:space="preserve"> </w:t>
      </w:r>
      <w:r w:rsidRPr="00CB6FEC">
        <w:rPr>
          <w:rFonts w:ascii="Arial" w:hAnsi="Arial" w:cs="Arial"/>
          <w:bCs/>
          <w:sz w:val="24"/>
          <w:szCs w:val="24"/>
        </w:rPr>
        <w:t xml:space="preserve">określać - w jasnej i zrozumiałej formie - elementy wskazane w treści ww. przepisu. Dodatkowo, zgodnie z treścią art. 56. ust. 4 PT, umowa o zapewnienie przyłączenia do publicznej sieci telekomunikacyjnej, poza elementami, o których mowa w art. 56 ust. 3 PT, powinna określać numer przydzielony abonamentowi, a w przypadku przyłączenia do stacjonarnej publicznej sieci telekomunikacyjnej - także adres zakończenia sieci. Jednocześnie, analiza treści art. 56 ust. 5 PT prowadzi do wniosku, że nie jest możliwe przeniesienie w całości przez przedsiębiorcę telekomunikacyjnego regulacji wymaganej treścią powyżej wskazanych przepisów ustawy PT, do treści regulaminu świadczenia publicznie dostępnych usług telekomunikacyjnych. Ustawodawca przyjął bowiem, że co najwyżej elementy wskazane w art. 56 ust. 3 pkt 6-8 i 10 – 21, mogą być zawarte w przedmiotowym regulaminie, o ile na takie rozwiązanie regulacyjne zdecyduje się dany przedsiębiorca telekomunikacyjny. Tym samym, umowa o świadczenie usług telekomunikacyjnych musi każdorazowo zawierać, m.in.: (1) okres, na jaki została zawarta, w tym minimalny </w:t>
      </w:r>
      <w:r w:rsidRPr="00CB6FEC">
        <w:rPr>
          <w:rFonts w:ascii="Arial" w:hAnsi="Arial" w:cs="Arial"/>
          <w:bCs/>
          <w:sz w:val="24"/>
          <w:szCs w:val="24"/>
        </w:rPr>
        <w:lastRenderedPageBreak/>
        <w:t>okres wymagany do skorzystania z warunków promocyjnych, (2) pakiet taryfowy, jeżeli na świadczone usługi obowiązują różne pakiety taryfowe, (3) tryb i warunki dokonywania zmian umowy oraz warunki jej przedłużenia i rozwiązania, (4) numerację przydzieloną abonentowi. Podkreślić przy tym należy, że przepisy PT nie pozwalają na odmienne traktowanie abonentów posiadających status zamawiających w rozumieniu przepisów ustawy PZP. W konsekwencji powyższego, Wykonawca wnosi o potwierdzenie, że Zamawiający dopuszcza możliwość zawierania – oprócz umowy o udzieleniu zamówienia publicznego - jednostkowych lub zbiorczych umów o świadczenie usług telekomunikacyjnych, które obejmować będą wszystkie niezbędne elementy umów o świadczenie usług telekomunikacyjnych, z zastrzeżeniem że: (1) podstawowe warunki tych umów będzie określać umowa (główna) w sprawie udzielenia zamówienia oraz (2) nie będą miały one zastosowania w zakresie sprzecznym z dokumentacją niniejszego postępowania o udzielenie zamówienia. Wykonawca podkreśla, iż przyjęcie przez Zamawiającego – za jedyną podstawę współpracy - projektu umowy w sprawie udzielenia zamówienia publicznego, stanowiącej załącznik do SWZ, narażać będzie Strony na ryzyko stwierdzenia naruszenia powyżej wskazanych przepisów ustawy PT.</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Jednocześnie, w przypadku </w:t>
      </w:r>
      <w:bookmarkStart w:id="3" w:name="_Hlk165199137"/>
      <w:r w:rsidRPr="00CB6FEC">
        <w:rPr>
          <w:rFonts w:ascii="Arial" w:hAnsi="Arial" w:cs="Arial"/>
          <w:bCs/>
          <w:sz w:val="24"/>
          <w:szCs w:val="24"/>
        </w:rPr>
        <w:t xml:space="preserve">odmowy przez Zamawiającego zawarcia jednostkowych lub zbiorczych umów o świadczenie usług telekomunikacyjnych, Wykonawca wnosi o potwierdzenie, że Zamawiający zaakceptuje rozwiązanie polegające na spełnieniu ustawowych obowiązków regulacyjnych i informacyjnych dotyczących umów o świadczenie usług telekomunikacyjnych poprzez przyjęcie do wiadomości (akceptację) przesłanych przez Wykonawcę jednostkowych lub zbiorczych umów o świadczenie usług telekomunikacyjnych. </w:t>
      </w:r>
      <w:bookmarkEnd w:id="3"/>
      <w:r w:rsidRPr="00CB6FEC">
        <w:rPr>
          <w:rFonts w:ascii="Arial" w:hAnsi="Arial" w:cs="Arial"/>
          <w:bCs/>
          <w:sz w:val="24"/>
          <w:szCs w:val="24"/>
        </w:rPr>
        <w:t>Przedmiotowe rozwiązanie może bowiem ograniczyć powyżej wskazane ryzyka regulacyjne w sytuacji, w której Zamawiający nie podzieli argumentacji dotyczącej obowiązku zawarcia jednostkowych lub zbiorczych umów o świadczenie usług telekomunikacyjnych.</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u w:val="single"/>
        </w:rPr>
        <w:t>Odpowiedź</w:t>
      </w:r>
      <w:r w:rsidRPr="00CB6FEC">
        <w:rPr>
          <w:rFonts w:ascii="Arial" w:hAnsi="Arial" w:cs="Arial"/>
          <w:bCs/>
          <w:sz w:val="24"/>
          <w:szCs w:val="24"/>
        </w:rPr>
        <w:t xml:space="preserve"> </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Zamawiający odmawia zawierania jednostkowych lub zbiorczych umów o świadczenie usług telekomunikacyjnych tym samym podtrzymuje zapisy projektu umowy. Zamawiający potwierdza iż zaakceptuje rozwiązanie polegające na spełnieniu ustawowych obowiązków regulacyjnych i informacyjnych dotyczących umów o świadczenie usług telekomunikacyjnych poprzez przyjęcie do wiadomości (akceptację) przesłanych przez Wykonawcę jednostkowych lub zbiorczych umów o świadczenie usług telekomunikacyjnych.</w:t>
      </w:r>
    </w:p>
    <w:p w:rsidR="00CB6FEC" w:rsidRPr="00CB6FEC" w:rsidRDefault="00CB6FEC" w:rsidP="00CB6FEC">
      <w:pPr>
        <w:overflowPunct w:val="0"/>
        <w:autoSpaceDE w:val="0"/>
        <w:autoSpaceDN w:val="0"/>
        <w:adjustRightInd w:val="0"/>
        <w:jc w:val="both"/>
        <w:rPr>
          <w:rFonts w:ascii="Arial" w:hAnsi="Arial" w:cs="Arial"/>
          <w:bCs/>
          <w:sz w:val="24"/>
          <w:szCs w:val="24"/>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Stosownie do treści art. 59 ust. 1 oraz 60a ustawy z dnia 16 lipca 2004 r. – Prawo telekomunikacyjne, dostawca publicznie dostępnych usług telekomunikacyjnych zobowiązany jest doręczyć Abonentowi regulamin świadczenia usług. W związku z powyższym </w:t>
      </w:r>
      <w:bookmarkStart w:id="4" w:name="_Hlk165199632"/>
      <w:r w:rsidRPr="00CB6FEC">
        <w:rPr>
          <w:rFonts w:ascii="Arial" w:hAnsi="Arial" w:cs="Arial"/>
          <w:bCs/>
          <w:sz w:val="24"/>
          <w:szCs w:val="24"/>
        </w:rPr>
        <w:t>Wykonawca wnosi o wprowadzenie do projektu umowy w sprawie zamówienia publicznego regulacji stanowiącej, iż regulamin świadczenia usług telekomunikacyjnych Wykonawcy stanowi załącznik do przedmiotowej umowy, z jednoczesnym zastrzeżeniem, że będzie miał on zastosowanie jedynie w zakresie niesprzecznym z umową.</w:t>
      </w:r>
    </w:p>
    <w:bookmarkEnd w:id="4"/>
    <w:p w:rsid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u w:val="single"/>
        </w:rPr>
        <w:t>Odpowiedź</w:t>
      </w:r>
      <w:r w:rsidRPr="00CB6FEC">
        <w:rPr>
          <w:rFonts w:ascii="Arial" w:hAnsi="Arial" w:cs="Arial"/>
          <w:bCs/>
          <w:sz w:val="24"/>
          <w:szCs w:val="24"/>
        </w:rPr>
        <w:t xml:space="preserve"> </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Zamawiający wprowadzi do projektu umowy regulację stanowiącą, iż regulamin świadczenia usług telekomunikacyjnych Wykonawców będzie stanowić załącznik do przedmiotowej umowy, z jednoczesnym zastrzeżeniem, że będzie miał on zastosowanie jedynie w zakresie niesprzecznym z umową. </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lastRenderedPageBreak/>
        <w:t>W związku z powyższym, w par. 12 projektu umowy wprowadza się zmianę polegającą na tym, iż w powyższym paragrafie 12 projektu umowy dodaje się ust. 6 o następującym brzmieniu:</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"6. Regulamin świadczenia usług telekomunikacyjnych Wykonawcy stanowi załącznik do niniejszej umowy, z zastrzeżeniem, że będzie miał on zastosowanie jedynie w zakresie niesprzecznym z niniejszą umową."</w:t>
      </w:r>
    </w:p>
    <w:p w:rsidR="00CB6FEC" w:rsidRPr="00CB6FEC" w:rsidRDefault="00CB6FEC" w:rsidP="00CB6FEC">
      <w:pPr>
        <w:overflowPunct w:val="0"/>
        <w:autoSpaceDE w:val="0"/>
        <w:autoSpaceDN w:val="0"/>
        <w:adjustRightInd w:val="0"/>
        <w:jc w:val="both"/>
        <w:rPr>
          <w:rFonts w:ascii="Arial" w:hAnsi="Arial" w:cs="Arial"/>
          <w:bCs/>
          <w:sz w:val="24"/>
          <w:szCs w:val="24"/>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Par. 3 ust. 1 wzoru umowy – prosimy o doprecyzowanie, że umowa zwarta jest na czas oznaczony 36 miesięcy, który jest liczony od dnia jej zawarcia.</w:t>
      </w:r>
    </w:p>
    <w:p w:rsid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Odpowiedź</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Zamawiający podtrzymuje zapisy projektu umowy § 3pkt.1.Przedmiot Umowy realizowany będzie przez 36 miesięcy od pierwszego dnia miesiąca po dniu podpisania umowy lub do czasu wyczerpania środków w zależności od tego co nastąpi wcześniej.</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Par. 4 ust. 4 wzoru umowy - Zgodnie z treścią projektu umowy w sprawie zamówienia publicznego stanowiącej załącznik do SWZ, za świadczenie usług objętych umową, Wykonawcy przysługuje wynagrodzenie wskazane w formularzu ofertowym. Z uwagi jednak na fakt, iż formularz oferty nie zawiera wyspecyfikowanych wszystkich usług objętych przedmiotem zamówienia, Wykonawca wnosi o wyjaśnienie treści SIWZ, a w konsekwencji o zmianę projektu umowy poprzez wyraźne zastrzeżenie, że wynagrodzenie, które będzie wskazane w par. 4 ust. 4 umowy, nie obejmuje wynagrodzenia za usługi dodatkowe, np. takie jak: </w:t>
      </w:r>
      <w:proofErr w:type="spellStart"/>
      <w:r w:rsidRPr="00CB6FEC">
        <w:rPr>
          <w:rFonts w:ascii="Arial" w:hAnsi="Arial" w:cs="Arial"/>
          <w:bCs/>
          <w:sz w:val="24"/>
          <w:szCs w:val="24"/>
        </w:rPr>
        <w:t>roaming</w:t>
      </w:r>
      <w:proofErr w:type="spellEnd"/>
      <w:r w:rsidRPr="00CB6FEC">
        <w:rPr>
          <w:rFonts w:ascii="Arial" w:hAnsi="Arial" w:cs="Arial"/>
          <w:bCs/>
          <w:sz w:val="24"/>
          <w:szCs w:val="24"/>
        </w:rPr>
        <w:t xml:space="preserve"> które będą rozliczane w oparciu o aktualny cennik świadczenia usług telekomunikacyjnych dla klientów biznesowych obowiązujący u Wykonawcy w okresie rozliczeniowym, w którym Zamawiający korzystał z tychże usług.</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Odpowiedź</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 xml:space="preserve">Zamawiający wprowadza zmianę w </w:t>
      </w:r>
      <w:bookmarkStart w:id="5" w:name="_Hlk165202059"/>
      <w:r w:rsidRPr="00CB6FEC">
        <w:rPr>
          <w:rFonts w:ascii="Arial" w:hAnsi="Arial" w:cs="Arial"/>
          <w:bCs/>
          <w:sz w:val="24"/>
          <w:szCs w:val="24"/>
          <w:u w:val="single"/>
        </w:rPr>
        <w:t>§</w:t>
      </w:r>
      <w:bookmarkEnd w:id="5"/>
      <w:r w:rsidRPr="00CB6FEC">
        <w:rPr>
          <w:rFonts w:ascii="Arial" w:hAnsi="Arial" w:cs="Arial"/>
          <w:bCs/>
          <w:sz w:val="24"/>
          <w:szCs w:val="24"/>
          <w:u w:val="single"/>
        </w:rPr>
        <w:t xml:space="preserve"> 4  projektu umowy o treści: </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 xml:space="preserve">Wynagrodzenie za wszystkie usługi dodatkowe (np. takie jak: </w:t>
      </w:r>
      <w:proofErr w:type="spellStart"/>
      <w:r w:rsidRPr="00CB6FEC">
        <w:rPr>
          <w:rFonts w:ascii="Arial" w:hAnsi="Arial" w:cs="Arial"/>
          <w:bCs/>
          <w:sz w:val="24"/>
          <w:szCs w:val="24"/>
          <w:u w:val="single"/>
        </w:rPr>
        <w:t>roaming</w:t>
      </w:r>
      <w:proofErr w:type="spellEnd"/>
      <w:r w:rsidRPr="00CB6FEC">
        <w:rPr>
          <w:rFonts w:ascii="Arial" w:hAnsi="Arial" w:cs="Arial"/>
          <w:bCs/>
          <w:sz w:val="24"/>
          <w:szCs w:val="24"/>
          <w:u w:val="single"/>
        </w:rPr>
        <w:t>) będą rozliczane w oparciu o aktualny cennik świadczenia usług telekomunikacyjnych obowiązujący u Wykonawcy w okresie rozliczeniowym, w którym Zamawiający korzystał z tychże usług.</w:t>
      </w:r>
    </w:p>
    <w:p w:rsidR="00CB6FEC" w:rsidRPr="00CB6FEC" w:rsidRDefault="00CB6FEC" w:rsidP="00CB6FEC">
      <w:pPr>
        <w:overflowPunct w:val="0"/>
        <w:autoSpaceDE w:val="0"/>
        <w:autoSpaceDN w:val="0"/>
        <w:adjustRightInd w:val="0"/>
        <w:jc w:val="both"/>
        <w:rPr>
          <w:rFonts w:ascii="Arial" w:hAnsi="Arial" w:cs="Arial"/>
          <w:bCs/>
          <w:sz w:val="24"/>
          <w:szCs w:val="24"/>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bookmarkStart w:id="6" w:name="_Hlk165202028"/>
      <w:r w:rsidRPr="00CB6FEC">
        <w:rPr>
          <w:rFonts w:ascii="Arial" w:hAnsi="Arial" w:cs="Arial"/>
          <w:bCs/>
          <w:sz w:val="24"/>
          <w:szCs w:val="24"/>
        </w:rPr>
        <w:t xml:space="preserve">Par. 7 ust. 2 </w:t>
      </w:r>
      <w:bookmarkEnd w:id="6"/>
      <w:r w:rsidRPr="00CB6FEC">
        <w:rPr>
          <w:rFonts w:ascii="Arial" w:hAnsi="Arial" w:cs="Arial"/>
          <w:bCs/>
          <w:sz w:val="24"/>
          <w:szCs w:val="24"/>
        </w:rPr>
        <w:t>wzoru umowy - czy Zamawiający wyrazi zgodę na modyfikację postanowienia poprzez dodanie zastrzeżenia, iż dochodzeni odszkodowania przenoszącego wysokość zastrzeżonych kar umownych będzie dopuszczalne na zasadach ogólnych, ale z wyłączeniem utraconych korzyści</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Odpowiedź</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Zamawiający podtrzymuje zapisy §</w:t>
      </w:r>
      <w:r w:rsidRPr="00CB6FEC">
        <w:rPr>
          <w:rFonts w:ascii="Arial" w:hAnsi="Arial" w:cs="Arial"/>
          <w:bCs/>
          <w:sz w:val="24"/>
          <w:szCs w:val="24"/>
        </w:rPr>
        <w:t xml:space="preserve"> </w:t>
      </w:r>
      <w:r w:rsidRPr="00CB6FEC">
        <w:rPr>
          <w:rFonts w:ascii="Arial" w:hAnsi="Arial" w:cs="Arial"/>
          <w:bCs/>
          <w:sz w:val="24"/>
          <w:szCs w:val="24"/>
          <w:u w:val="single"/>
        </w:rPr>
        <w:t>7 ust. 2  projektu umowy.</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p>
    <w:p w:rsidR="00CB6FEC" w:rsidRPr="00CB6FEC" w:rsidRDefault="00CB6FEC" w:rsidP="00CB6FEC">
      <w:pPr>
        <w:numPr>
          <w:ilvl w:val="0"/>
          <w:numId w:val="2"/>
        </w:num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Par. 7 ust. 3 wzoru umowy - Zamawiający zastrzegł możliwość wypowiedzenia umowy bez konsekwencji finansowych dla Zamawiającego bez żadnego okresu wypowiedzenia. W tym miejscu Wykonawca wskazuje na treść art. 140 PZP stanowiącego wprost, że zakres świadczenia wykonawcy wynikający z umowy ma być tożsamy ze zobowiązaniem zawartym w ofercie. Co więcej, stosownie do treści art. 145 ust. 1 PZP, odstąpienie zamawiającego od umowy zawartej na czas określony dopuszczalne jest jedynie w przypadku gdy z uwagi na zaistnienie istotnej zmiany okoliczności, wykonanie umowy nie leży w interesie publicznych, czego nie można było przewidzieć w chwili zawarcia umowy. Wykonawca podkreśla, przy tym, że ustawa PZP nie wskazuje żadnych innych sytuacji, w której możliwe i dopuszczalne byłoby odstąpienie lub rozwiązanie umowy w </w:t>
      </w:r>
      <w:r w:rsidRPr="00CB6FEC">
        <w:rPr>
          <w:rFonts w:ascii="Arial" w:hAnsi="Arial" w:cs="Arial"/>
          <w:bCs/>
          <w:sz w:val="24"/>
          <w:szCs w:val="24"/>
        </w:rPr>
        <w:lastRenderedPageBreak/>
        <w:t>sprawie udzielenie zamówienia publicznego zawartej na czas określony. Poza argumentami natury prawnej, Wykonawca wskazuje także na argumentację ekonomiczną i biznesową związaną z przyjęciem, iż przedmiot zamówienia został opisany w sposób prawidłowy i jako taki obejmuje wszelkie pozycje cenotwórcze występujące przez cały okres realizacji zamówienia. W konsekwencji oferta wykonawcy uwzględnia wszelkie elementy niezbędne do prawidłowej kalkulacji ceny ofertowej, w szczególności okres świadczenia poszczególnych usług. Warto również zwrócić uwagę że zgodnie z ustawą z dnia 30 czerwca 2005 r. o finansach publicznych Zamawiający powinien wydatki publiczne dokonywać w sposób celowym oszczędny uniemożliwiający terminową realizację zadań w wysokości i terminach wynikających z wcześniej zaciągniętych zobowiązań, natomiast poprzez umieszczenie w treści wzoru umowy zapisów o możliwości rezygnacji z usług w każdym czasie, Zamawiający zmusza Wykonawcę do wkalkulowania w koszty ofert zagrożenia wynikające z nieprzewidzianych rezygnacji a przez to powoduje zwiększenie wartość oferty i naraża się na dodatkowe koszty.</w:t>
      </w:r>
    </w:p>
    <w:p w:rsidR="00CB6FEC" w:rsidRPr="00CB6FEC" w:rsidRDefault="00CB6FEC" w:rsidP="00CB6FEC">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W związku z powyższym Wykonawca wnosi o zmianę treści projektu Umowy poprzez przyjęcie konstrukcji postanowienia zgodnej z treścią art. 145 ust. 1 PZP. W przypadku utrzymania decyzji o dopuszczeniu możliwości rozwiązania umowy w sprawie udzielenia zamówienia publicznego, Wykonawca wnosi o wyjaśnienie w jaki sposób zamawiający zwróci wykonawcy koszty poniesione przez wykonawcę w celu rozpoczęcia świadczenia usług objętych przedmiotem zamówienia (w tym opłaty instalacyjne, aktywacyjne), które zasadniczo ujmowane są w opłatach jednostkowych liczonych dla pełnego okresu, na jaki dana umowa ma być zawarta.</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Odpowiedź</w:t>
      </w:r>
    </w:p>
    <w:p w:rsidR="00CB6FEC" w:rsidRPr="00CB6FEC" w:rsidRDefault="00CB6FEC" w:rsidP="00CB6FEC">
      <w:pPr>
        <w:overflowPunct w:val="0"/>
        <w:autoSpaceDE w:val="0"/>
        <w:autoSpaceDN w:val="0"/>
        <w:adjustRightInd w:val="0"/>
        <w:jc w:val="both"/>
        <w:rPr>
          <w:rFonts w:ascii="Arial" w:hAnsi="Arial" w:cs="Arial"/>
          <w:bCs/>
          <w:sz w:val="24"/>
          <w:szCs w:val="24"/>
          <w:u w:val="single"/>
        </w:rPr>
      </w:pPr>
      <w:r w:rsidRPr="00CB6FEC">
        <w:rPr>
          <w:rFonts w:ascii="Arial" w:hAnsi="Arial" w:cs="Arial"/>
          <w:bCs/>
          <w:sz w:val="24"/>
          <w:szCs w:val="24"/>
          <w:u w:val="single"/>
        </w:rPr>
        <w:t>W § 7 pkt. 3. projektu umowy uwzględniono szczególny przypadek w którym Wykonawca narusza postanowienia umowy lub wykonuje ją nienależycie. Powyższy pkt. Projektu umowy informuje również o tym iż Zamawiający może wezwać Wykonawcę do usunięcia naruszeń i wyznaczyć mu w tym celu odpowiedni termin a dopiero po bezskutecznym upływie wyznaczonego terminu, Zamawiający ma prawo natychmiastowego wypowiedzenia umowy. Powyższe zapisy mają na celu właściwe zabezpieczenie interesów Zamawiającego. Zamawiający podtrzymuje zapisy projektu umowy.</w:t>
      </w:r>
    </w:p>
    <w:p w:rsidR="00CB6FEC" w:rsidRPr="00CB6FEC" w:rsidRDefault="00CB6FEC" w:rsidP="00CB6FEC">
      <w:pPr>
        <w:overflowPunct w:val="0"/>
        <w:autoSpaceDE w:val="0"/>
        <w:autoSpaceDN w:val="0"/>
        <w:adjustRightInd w:val="0"/>
        <w:jc w:val="both"/>
        <w:rPr>
          <w:rFonts w:ascii="Arial" w:hAnsi="Arial" w:cs="Arial"/>
          <w:bCs/>
          <w:sz w:val="24"/>
          <w:szCs w:val="24"/>
        </w:rPr>
      </w:pPr>
    </w:p>
    <w:p w:rsidR="00CA7407" w:rsidRPr="00CB6FEC" w:rsidRDefault="00CA7407" w:rsidP="00AD5E99">
      <w:pPr>
        <w:overflowPunct w:val="0"/>
        <w:autoSpaceDE w:val="0"/>
        <w:autoSpaceDN w:val="0"/>
        <w:adjustRightInd w:val="0"/>
        <w:jc w:val="both"/>
        <w:rPr>
          <w:rFonts w:ascii="Arial" w:hAnsi="Arial" w:cs="Arial"/>
          <w:bCs/>
          <w:sz w:val="24"/>
          <w:szCs w:val="24"/>
        </w:rPr>
      </w:pPr>
    </w:p>
    <w:p w:rsidR="00CA7407" w:rsidRPr="00CB6FEC" w:rsidRDefault="00CA7407" w:rsidP="00CA7407">
      <w:pPr>
        <w:overflowPunct w:val="0"/>
        <w:autoSpaceDE w:val="0"/>
        <w:autoSpaceDN w:val="0"/>
        <w:adjustRightInd w:val="0"/>
        <w:jc w:val="center"/>
        <w:rPr>
          <w:rFonts w:ascii="Arial" w:hAnsi="Arial" w:cs="Arial"/>
          <w:b/>
          <w:bCs/>
          <w:sz w:val="24"/>
          <w:szCs w:val="24"/>
          <w:u w:val="single"/>
        </w:rPr>
      </w:pPr>
      <w:r w:rsidRPr="00CB6FEC">
        <w:rPr>
          <w:rFonts w:ascii="Arial" w:hAnsi="Arial" w:cs="Arial"/>
          <w:b/>
          <w:bCs/>
          <w:sz w:val="24"/>
          <w:szCs w:val="24"/>
          <w:u w:val="single"/>
        </w:rPr>
        <w:t>Korekta formularz ofertowego</w:t>
      </w:r>
    </w:p>
    <w:p w:rsidR="00CA7407" w:rsidRPr="00CB6FEC" w:rsidRDefault="00CA7407" w:rsidP="00AD5E99">
      <w:pPr>
        <w:overflowPunct w:val="0"/>
        <w:autoSpaceDE w:val="0"/>
        <w:autoSpaceDN w:val="0"/>
        <w:adjustRightInd w:val="0"/>
        <w:jc w:val="both"/>
        <w:rPr>
          <w:rFonts w:ascii="Arial" w:hAnsi="Arial" w:cs="Arial"/>
          <w:bCs/>
          <w:sz w:val="24"/>
          <w:szCs w:val="24"/>
        </w:rPr>
      </w:pPr>
    </w:p>
    <w:p w:rsidR="00CA7407" w:rsidRPr="00CB6FEC" w:rsidRDefault="00CA7407" w:rsidP="00AD5E99">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W tabeli na Formularzu ofertowym dodano wiersz :</w:t>
      </w:r>
    </w:p>
    <w:p w:rsidR="00CA7407" w:rsidRPr="00CB6FEC" w:rsidRDefault="00CA7407" w:rsidP="00AD5E99">
      <w:pPr>
        <w:overflowPunct w:val="0"/>
        <w:autoSpaceDE w:val="0"/>
        <w:autoSpaceDN w:val="0"/>
        <w:adjustRightInd w:val="0"/>
        <w:jc w:val="both"/>
        <w:rPr>
          <w:rFonts w:ascii="Arial" w:hAnsi="Arial" w:cs="Arial"/>
          <w:bCs/>
          <w:sz w:val="24"/>
          <w:szCs w:val="24"/>
        </w:rPr>
      </w:pPr>
    </w:p>
    <w:tbl>
      <w:tblPr>
        <w:tblW w:w="906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1413"/>
        <w:gridCol w:w="850"/>
        <w:gridCol w:w="1281"/>
        <w:gridCol w:w="850"/>
        <w:gridCol w:w="1981"/>
        <w:gridCol w:w="2685"/>
      </w:tblGrid>
      <w:tr w:rsidR="00CA7407" w:rsidRPr="00CB6FEC" w:rsidTr="005D796F">
        <w:trPr>
          <w:trHeight w:val="687"/>
        </w:trPr>
        <w:tc>
          <w:tcPr>
            <w:tcW w:w="1413"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b/>
                <w:sz w:val="24"/>
                <w:szCs w:val="24"/>
              </w:rPr>
            </w:pPr>
            <w:r w:rsidRPr="00CB6FEC">
              <w:rPr>
                <w:rFonts w:ascii="Arial" w:eastAsia="Arial" w:hAnsi="Arial" w:cs="Arial"/>
                <w:b/>
                <w:sz w:val="24"/>
                <w:szCs w:val="24"/>
              </w:rPr>
              <w:t>Pozycja</w:t>
            </w:r>
          </w:p>
        </w:tc>
        <w:tc>
          <w:tcPr>
            <w:tcW w:w="850"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b/>
                <w:sz w:val="24"/>
                <w:szCs w:val="24"/>
              </w:rPr>
            </w:pPr>
            <w:r w:rsidRPr="00CB6FEC">
              <w:rPr>
                <w:rFonts w:ascii="Arial" w:eastAsia="Arial" w:hAnsi="Arial" w:cs="Arial"/>
                <w:b/>
                <w:sz w:val="24"/>
                <w:szCs w:val="24"/>
              </w:rPr>
              <w:t>Ilość</w:t>
            </w:r>
          </w:p>
        </w:tc>
        <w:tc>
          <w:tcPr>
            <w:tcW w:w="1281"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b/>
                <w:sz w:val="24"/>
                <w:szCs w:val="24"/>
              </w:rPr>
            </w:pPr>
            <w:r w:rsidRPr="00CB6FEC">
              <w:rPr>
                <w:rFonts w:ascii="Arial" w:eastAsia="Arial" w:hAnsi="Arial" w:cs="Arial"/>
                <w:b/>
                <w:sz w:val="24"/>
                <w:szCs w:val="24"/>
              </w:rPr>
              <w:t>Cena netto za 1 szt. aparatu</w:t>
            </w:r>
          </w:p>
        </w:tc>
        <w:tc>
          <w:tcPr>
            <w:tcW w:w="850"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sz w:val="24"/>
                <w:szCs w:val="24"/>
              </w:rPr>
            </w:pPr>
            <w:r w:rsidRPr="00CB6FEC">
              <w:rPr>
                <w:rFonts w:ascii="Arial" w:eastAsia="Arial" w:hAnsi="Arial" w:cs="Arial"/>
                <w:sz w:val="24"/>
                <w:szCs w:val="24"/>
              </w:rPr>
              <w:t>Stawka</w:t>
            </w:r>
          </w:p>
          <w:p w:rsidR="00CA7407" w:rsidRPr="00CB6FEC" w:rsidRDefault="00CA7407" w:rsidP="00CA7407">
            <w:pPr>
              <w:jc w:val="center"/>
              <w:rPr>
                <w:rFonts w:ascii="Arial" w:eastAsia="Arial" w:hAnsi="Arial" w:cs="Arial"/>
                <w:sz w:val="24"/>
                <w:szCs w:val="24"/>
              </w:rPr>
            </w:pPr>
            <w:r w:rsidRPr="00CB6FEC">
              <w:rPr>
                <w:rFonts w:ascii="Arial" w:eastAsia="Arial" w:hAnsi="Arial" w:cs="Arial"/>
                <w:sz w:val="24"/>
                <w:szCs w:val="24"/>
              </w:rPr>
              <w:t>podatku VAT</w:t>
            </w:r>
          </w:p>
          <w:p w:rsidR="00CA7407" w:rsidRPr="00CB6FEC" w:rsidRDefault="00CA7407" w:rsidP="00CA7407">
            <w:pPr>
              <w:jc w:val="center"/>
              <w:rPr>
                <w:rFonts w:ascii="Arial" w:eastAsia="Arial" w:hAnsi="Arial" w:cs="Arial"/>
                <w:sz w:val="24"/>
                <w:szCs w:val="24"/>
              </w:rPr>
            </w:pPr>
            <w:r w:rsidRPr="00CB6FEC">
              <w:rPr>
                <w:rFonts w:ascii="Arial" w:eastAsia="Arial" w:hAnsi="Arial" w:cs="Arial"/>
                <w:sz w:val="24"/>
                <w:szCs w:val="24"/>
              </w:rPr>
              <w:t>(%)</w:t>
            </w:r>
          </w:p>
        </w:tc>
        <w:tc>
          <w:tcPr>
            <w:tcW w:w="1981"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b/>
                <w:sz w:val="24"/>
                <w:szCs w:val="24"/>
              </w:rPr>
            </w:pPr>
          </w:p>
          <w:p w:rsidR="00CA7407" w:rsidRPr="00CB6FEC" w:rsidRDefault="00CA7407" w:rsidP="00CA7407">
            <w:pPr>
              <w:jc w:val="center"/>
              <w:rPr>
                <w:rFonts w:ascii="Arial" w:eastAsia="Arial" w:hAnsi="Arial" w:cs="Arial"/>
                <w:b/>
                <w:sz w:val="24"/>
                <w:szCs w:val="24"/>
              </w:rPr>
            </w:pPr>
            <w:r w:rsidRPr="00CB6FEC">
              <w:rPr>
                <w:rFonts w:ascii="Arial" w:eastAsia="Arial" w:hAnsi="Arial" w:cs="Arial"/>
                <w:b/>
                <w:sz w:val="24"/>
                <w:szCs w:val="24"/>
              </w:rPr>
              <w:t>Wartość netto (bez podatku VAT) za aparaty</w:t>
            </w:r>
          </w:p>
          <w:p w:rsidR="00CA7407" w:rsidRPr="00CB6FEC" w:rsidRDefault="00CA7407" w:rsidP="00CA7407">
            <w:pPr>
              <w:jc w:val="center"/>
              <w:rPr>
                <w:rFonts w:ascii="Arial" w:eastAsia="Arial" w:hAnsi="Arial" w:cs="Arial"/>
                <w:sz w:val="24"/>
                <w:szCs w:val="24"/>
              </w:rPr>
            </w:pPr>
          </w:p>
        </w:tc>
        <w:tc>
          <w:tcPr>
            <w:tcW w:w="2685" w:type="dxa"/>
            <w:tcBorders>
              <w:top w:val="single" w:sz="12" w:space="0" w:color="000000"/>
              <w:left w:val="single" w:sz="4" w:space="0" w:color="000000"/>
              <w:bottom w:val="single" w:sz="12" w:space="0" w:color="000000"/>
              <w:right w:val="single" w:sz="4" w:space="0" w:color="000000"/>
            </w:tcBorders>
            <w:shd w:val="clear" w:color="auto" w:fill="D0CECE" w:themeFill="background2" w:themeFillShade="E6"/>
            <w:vAlign w:val="center"/>
          </w:tcPr>
          <w:p w:rsidR="00CA7407" w:rsidRPr="00CB6FEC" w:rsidRDefault="00CA7407" w:rsidP="00CA7407">
            <w:pPr>
              <w:jc w:val="center"/>
              <w:rPr>
                <w:rFonts w:ascii="Arial" w:eastAsia="Arial" w:hAnsi="Arial" w:cs="Arial"/>
                <w:sz w:val="24"/>
                <w:szCs w:val="24"/>
              </w:rPr>
            </w:pPr>
            <w:r w:rsidRPr="00CB6FEC">
              <w:rPr>
                <w:rFonts w:ascii="Arial" w:eastAsia="Arial" w:hAnsi="Arial" w:cs="Arial"/>
                <w:b/>
                <w:sz w:val="24"/>
                <w:szCs w:val="24"/>
              </w:rPr>
              <w:t>Wartość brutto wraz z podatkiem VAT za aparaty</w:t>
            </w:r>
          </w:p>
        </w:tc>
      </w:tr>
    </w:tbl>
    <w:p w:rsidR="00CA7407" w:rsidRPr="00CB6FEC" w:rsidRDefault="00CA7407" w:rsidP="00AD5E99">
      <w:pPr>
        <w:overflowPunct w:val="0"/>
        <w:autoSpaceDE w:val="0"/>
        <w:autoSpaceDN w:val="0"/>
        <w:adjustRightInd w:val="0"/>
        <w:jc w:val="both"/>
        <w:rPr>
          <w:rFonts w:ascii="Arial" w:hAnsi="Arial" w:cs="Arial"/>
          <w:bCs/>
          <w:sz w:val="24"/>
          <w:szCs w:val="24"/>
        </w:rPr>
      </w:pPr>
    </w:p>
    <w:p w:rsidR="008C064B" w:rsidRPr="00CB6FEC" w:rsidRDefault="008C064B" w:rsidP="00AD5E99">
      <w:pPr>
        <w:overflowPunct w:val="0"/>
        <w:autoSpaceDE w:val="0"/>
        <w:autoSpaceDN w:val="0"/>
        <w:adjustRightInd w:val="0"/>
        <w:jc w:val="both"/>
        <w:rPr>
          <w:rFonts w:ascii="Arial" w:hAnsi="Arial" w:cs="Arial"/>
          <w:bCs/>
          <w:sz w:val="24"/>
          <w:szCs w:val="24"/>
        </w:rPr>
      </w:pPr>
      <w:r w:rsidRPr="00CB6FEC">
        <w:rPr>
          <w:rFonts w:ascii="Arial" w:hAnsi="Arial" w:cs="Arial"/>
          <w:bCs/>
          <w:sz w:val="24"/>
          <w:szCs w:val="24"/>
        </w:rPr>
        <w:t xml:space="preserve">Poprawiony Formularz ofertowy, obowiązujący w postępowaniu zamieszczamy pod nazwą : </w:t>
      </w:r>
      <w:r w:rsidRPr="00CB6FEC">
        <w:rPr>
          <w:rFonts w:ascii="Arial" w:hAnsi="Arial" w:cs="Arial"/>
          <w:b/>
          <w:bCs/>
          <w:sz w:val="24"/>
          <w:szCs w:val="24"/>
        </w:rPr>
        <w:t xml:space="preserve">Formularz ofertowy </w:t>
      </w:r>
      <w:r w:rsidR="00CA7407" w:rsidRPr="00CB6FEC">
        <w:rPr>
          <w:rFonts w:ascii="Arial" w:hAnsi="Arial" w:cs="Arial"/>
          <w:b/>
          <w:bCs/>
          <w:sz w:val="24"/>
          <w:szCs w:val="24"/>
        </w:rPr>
        <w:t xml:space="preserve">NOWY </w:t>
      </w:r>
      <w:r w:rsidR="00CA7407" w:rsidRPr="00F624B5">
        <w:rPr>
          <w:rFonts w:ascii="Arial" w:hAnsi="Arial" w:cs="Arial"/>
          <w:b/>
          <w:bCs/>
          <w:sz w:val="32"/>
          <w:szCs w:val="32"/>
        </w:rPr>
        <w:t>II</w:t>
      </w:r>
      <w:r w:rsidR="00CA7407" w:rsidRPr="00CB6FEC">
        <w:rPr>
          <w:rFonts w:ascii="Arial" w:hAnsi="Arial" w:cs="Arial"/>
          <w:b/>
          <w:bCs/>
          <w:sz w:val="24"/>
          <w:szCs w:val="24"/>
        </w:rPr>
        <w:t xml:space="preserve"> </w:t>
      </w:r>
    </w:p>
    <w:p w:rsidR="008C064B" w:rsidRPr="00CB6FEC" w:rsidRDefault="008C064B" w:rsidP="00AD5E99">
      <w:pPr>
        <w:overflowPunct w:val="0"/>
        <w:autoSpaceDE w:val="0"/>
        <w:autoSpaceDN w:val="0"/>
        <w:adjustRightInd w:val="0"/>
        <w:jc w:val="both"/>
        <w:rPr>
          <w:rFonts w:ascii="Arial" w:hAnsi="Arial" w:cs="Arial"/>
          <w:bCs/>
          <w:sz w:val="24"/>
          <w:szCs w:val="24"/>
        </w:rPr>
      </w:pPr>
    </w:p>
    <w:p w:rsidR="00AF509B" w:rsidRPr="00CB6FEC" w:rsidRDefault="00AF509B" w:rsidP="00AD5E99">
      <w:pPr>
        <w:overflowPunct w:val="0"/>
        <w:autoSpaceDE w:val="0"/>
        <w:autoSpaceDN w:val="0"/>
        <w:adjustRightInd w:val="0"/>
        <w:jc w:val="both"/>
        <w:rPr>
          <w:rFonts w:ascii="Arial" w:hAnsi="Arial" w:cs="Arial"/>
          <w:b/>
          <w:bCs/>
          <w:sz w:val="24"/>
          <w:szCs w:val="24"/>
        </w:rPr>
      </w:pPr>
    </w:p>
    <w:p w:rsidR="00AF509B" w:rsidRPr="00CB6FEC" w:rsidRDefault="00AF509B" w:rsidP="00AD5E99">
      <w:pPr>
        <w:overflowPunct w:val="0"/>
        <w:autoSpaceDE w:val="0"/>
        <w:autoSpaceDN w:val="0"/>
        <w:adjustRightInd w:val="0"/>
        <w:jc w:val="both"/>
        <w:rPr>
          <w:rFonts w:ascii="Arial" w:hAnsi="Arial" w:cs="Arial"/>
          <w:b/>
          <w:bCs/>
          <w:sz w:val="24"/>
          <w:szCs w:val="24"/>
        </w:rPr>
      </w:pPr>
    </w:p>
    <w:p w:rsidR="00AF509B" w:rsidRPr="00CB6FEC" w:rsidRDefault="00AF509B" w:rsidP="00AD5E99">
      <w:pPr>
        <w:overflowPunct w:val="0"/>
        <w:autoSpaceDE w:val="0"/>
        <w:autoSpaceDN w:val="0"/>
        <w:adjustRightInd w:val="0"/>
        <w:jc w:val="both"/>
        <w:rPr>
          <w:rFonts w:ascii="Arial" w:hAnsi="Arial" w:cs="Arial"/>
          <w:b/>
          <w:bCs/>
          <w:sz w:val="24"/>
          <w:szCs w:val="24"/>
        </w:rPr>
      </w:pPr>
    </w:p>
    <w:p w:rsidR="00015E2B" w:rsidRPr="00CB6FEC" w:rsidRDefault="00233A78" w:rsidP="00233A78">
      <w:pPr>
        <w:pStyle w:val="Tekstpodstawowy"/>
        <w:spacing w:line="240" w:lineRule="auto"/>
        <w:ind w:right="-2" w:firstLine="2"/>
        <w:jc w:val="center"/>
        <w:rPr>
          <w:rFonts w:ascii="Arial" w:hAnsi="Arial" w:cs="Arial"/>
          <w:b/>
          <w:szCs w:val="24"/>
          <w:u w:val="single"/>
        </w:rPr>
      </w:pPr>
      <w:r w:rsidRPr="00CB6FEC">
        <w:rPr>
          <w:rFonts w:ascii="Arial" w:hAnsi="Arial" w:cs="Arial"/>
          <w:b/>
          <w:szCs w:val="24"/>
          <w:u w:val="single"/>
        </w:rPr>
        <w:t>Korekta projektu umowy</w:t>
      </w:r>
    </w:p>
    <w:p w:rsidR="00233A78" w:rsidRPr="00CB6FEC" w:rsidRDefault="00233A78" w:rsidP="00233A78">
      <w:pPr>
        <w:pStyle w:val="Tekstpodstawowy"/>
        <w:ind w:right="-2" w:firstLine="2"/>
        <w:rPr>
          <w:rFonts w:ascii="Arial" w:hAnsi="Arial" w:cs="Arial"/>
          <w:szCs w:val="24"/>
        </w:rPr>
      </w:pPr>
    </w:p>
    <w:p w:rsidR="00233A78" w:rsidRPr="00CB6FEC" w:rsidRDefault="00233A78" w:rsidP="00233A78">
      <w:pPr>
        <w:pStyle w:val="Tekstpodstawowy"/>
        <w:ind w:right="-2" w:firstLine="2"/>
        <w:rPr>
          <w:rFonts w:ascii="Arial" w:hAnsi="Arial" w:cs="Arial"/>
          <w:szCs w:val="24"/>
        </w:rPr>
      </w:pPr>
      <w:r w:rsidRPr="00CB6FEC">
        <w:rPr>
          <w:rFonts w:ascii="Arial" w:hAnsi="Arial" w:cs="Arial"/>
          <w:szCs w:val="24"/>
        </w:rPr>
        <w:t>W Projekcie umowy (Załącznik nr 7 do SWZ) w paragrafie 9 ust. 2 dodaje się pkt 6)                      o następującym brzmieniu:</w:t>
      </w:r>
    </w:p>
    <w:p w:rsidR="00233A78" w:rsidRPr="00CB6FEC" w:rsidRDefault="00233A78" w:rsidP="00233A78">
      <w:pPr>
        <w:pStyle w:val="Tekstpodstawowy"/>
        <w:ind w:right="-2" w:firstLine="2"/>
        <w:rPr>
          <w:rFonts w:ascii="Arial" w:hAnsi="Arial" w:cs="Arial"/>
          <w:szCs w:val="24"/>
        </w:rPr>
      </w:pPr>
      <w:r w:rsidRPr="00CB6FEC">
        <w:rPr>
          <w:rFonts w:ascii="Arial" w:hAnsi="Arial" w:cs="Arial"/>
          <w:szCs w:val="24"/>
        </w:rPr>
        <w:t>6) wydłużenia terminu realizacji umowy (świadczenia usług) i związanego z nim zwiększenia wynagrodzenia Wykonawcy, w przypadku gdy Zamawiający uzna to za konieczne, np. w przypadku przedłużających się procedur wyłonienia nowego wykonawcy w kolejnym postepowaniu, lecz nie dłużej niż o 2 miesiące.</w:t>
      </w:r>
    </w:p>
    <w:p w:rsidR="00233A78" w:rsidRPr="00CB6FEC" w:rsidRDefault="00233A78" w:rsidP="00233A78">
      <w:pPr>
        <w:pStyle w:val="Tekstpodstawowy"/>
        <w:spacing w:line="240" w:lineRule="auto"/>
        <w:ind w:right="-2" w:firstLine="2"/>
        <w:rPr>
          <w:rFonts w:ascii="Arial" w:hAnsi="Arial" w:cs="Arial"/>
          <w:szCs w:val="24"/>
        </w:rPr>
      </w:pPr>
    </w:p>
    <w:p w:rsidR="00F624B5" w:rsidRDefault="00F624B5" w:rsidP="00AF509B">
      <w:pPr>
        <w:pStyle w:val="Tekstpodstawowy"/>
        <w:spacing w:line="240" w:lineRule="auto"/>
        <w:ind w:left="3117" w:right="1699" w:firstLine="423"/>
        <w:jc w:val="right"/>
        <w:rPr>
          <w:rFonts w:ascii="Arial" w:hAnsi="Arial" w:cs="Arial"/>
          <w:szCs w:val="24"/>
        </w:rPr>
      </w:pPr>
    </w:p>
    <w:p w:rsidR="00F624B5" w:rsidRDefault="00F624B5" w:rsidP="00AF509B">
      <w:pPr>
        <w:pStyle w:val="Tekstpodstawowy"/>
        <w:spacing w:line="240" w:lineRule="auto"/>
        <w:ind w:left="3117" w:right="1699" w:firstLine="423"/>
        <w:jc w:val="right"/>
        <w:rPr>
          <w:rFonts w:ascii="Arial" w:hAnsi="Arial" w:cs="Arial"/>
          <w:szCs w:val="24"/>
        </w:rPr>
      </w:pPr>
    </w:p>
    <w:p w:rsidR="00AC7B67" w:rsidRPr="00CB6FEC" w:rsidRDefault="00AF509B" w:rsidP="00AF509B">
      <w:pPr>
        <w:pStyle w:val="Tekstpodstawowy"/>
        <w:spacing w:line="240" w:lineRule="auto"/>
        <w:ind w:left="3117" w:right="1699" w:firstLine="423"/>
        <w:jc w:val="right"/>
        <w:rPr>
          <w:rFonts w:ascii="Arial" w:hAnsi="Arial" w:cs="Arial"/>
          <w:szCs w:val="24"/>
        </w:rPr>
      </w:pPr>
      <w:r w:rsidRPr="00CB6FEC">
        <w:rPr>
          <w:rFonts w:ascii="Arial" w:hAnsi="Arial" w:cs="Arial"/>
          <w:szCs w:val="24"/>
        </w:rPr>
        <w:t>ZAMAWIAJĄCY</w:t>
      </w:r>
    </w:p>
    <w:p w:rsidR="00AC7B67" w:rsidRPr="00CB6FEC" w:rsidRDefault="00AC7B67" w:rsidP="00AF509B">
      <w:pPr>
        <w:pStyle w:val="Tekstpodstawowy"/>
        <w:spacing w:line="240" w:lineRule="auto"/>
        <w:ind w:left="3117" w:right="4108" w:firstLine="423"/>
        <w:jc w:val="right"/>
        <w:rPr>
          <w:rFonts w:ascii="Arial" w:hAnsi="Arial" w:cs="Arial"/>
          <w:szCs w:val="24"/>
        </w:rPr>
      </w:pPr>
    </w:p>
    <w:p w:rsidR="005C0930" w:rsidRPr="00CB6FEC" w:rsidRDefault="005C0930" w:rsidP="00AD5E99">
      <w:pPr>
        <w:pStyle w:val="Tekstpodstawowy"/>
        <w:spacing w:line="240" w:lineRule="auto"/>
        <w:ind w:left="3117" w:right="-2" w:firstLine="423"/>
        <w:jc w:val="right"/>
        <w:rPr>
          <w:rFonts w:ascii="Arial" w:hAnsi="Arial" w:cs="Arial"/>
          <w:szCs w:val="24"/>
        </w:rPr>
      </w:pPr>
    </w:p>
    <w:sectPr w:rsidR="005C0930" w:rsidRPr="00CB6FEC" w:rsidSect="00AF509B">
      <w:footerReference w:type="even" r:id="rId7"/>
      <w:footerReference w:type="default" r:id="rId8"/>
      <w:footerReference w:type="first" r:id="rId9"/>
      <w:pgSz w:w="11906" w:h="16838" w:code="9"/>
      <w:pgMar w:top="1276" w:right="1418" w:bottom="1418" w:left="1418" w:header="708" w:footer="87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E8F" w:rsidRDefault="001E6E8F">
      <w:r>
        <w:separator/>
      </w:r>
    </w:p>
  </w:endnote>
  <w:endnote w:type="continuationSeparator" w:id="0">
    <w:p w:rsidR="001E6E8F" w:rsidRDefault="001E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D72" w:rsidRPr="00B862CC" w:rsidRDefault="00554D72" w:rsidP="00554D72">
    <w:pPr>
      <w:pBdr>
        <w:bottom w:val="single" w:sz="6" w:space="0" w:color="auto"/>
      </w:pBdr>
      <w:tabs>
        <w:tab w:val="left" w:pos="6237"/>
        <w:tab w:val="right" w:pos="9072"/>
      </w:tabs>
      <w:jc w:val="both"/>
      <w:rPr>
        <w:rFonts w:ascii="Arial" w:hAnsi="Arial"/>
        <w:sz w:val="22"/>
        <w:szCs w:val="24"/>
      </w:rPr>
    </w:pPr>
  </w:p>
  <w:p w:rsidR="00EF1037" w:rsidRPr="00554D72" w:rsidRDefault="00AF509B" w:rsidP="00554D72">
    <w:pPr>
      <w:tabs>
        <w:tab w:val="right" w:pos="9072"/>
      </w:tabs>
      <w:spacing w:before="120"/>
      <w:jc w:val="center"/>
      <w:rPr>
        <w:rFonts w:ascii="Arial" w:hAnsi="Arial"/>
        <w:sz w:val="18"/>
        <w:szCs w:val="24"/>
      </w:rPr>
    </w:pPr>
    <w:r>
      <w:rPr>
        <w:rFonts w:ascii="Arial" w:hAnsi="Arial"/>
        <w:sz w:val="18"/>
        <w:szCs w:val="24"/>
      </w:rPr>
      <w:t xml:space="preserve">                                                                                                                                                             </w:t>
    </w:r>
    <w:r w:rsidR="00554D72" w:rsidRPr="00B862CC">
      <w:rPr>
        <w:rFonts w:ascii="Arial" w:hAnsi="Arial"/>
        <w:sz w:val="18"/>
        <w:szCs w:val="24"/>
      </w:rPr>
      <w:t xml:space="preserve">Strona: </w:t>
    </w:r>
    <w:r w:rsidR="00554D72" w:rsidRPr="00B862CC">
      <w:rPr>
        <w:rFonts w:ascii="Arial" w:hAnsi="Arial"/>
        <w:sz w:val="18"/>
        <w:szCs w:val="24"/>
      </w:rPr>
      <w:fldChar w:fldCharType="begin"/>
    </w:r>
    <w:r w:rsidR="00554D72" w:rsidRPr="00B862CC">
      <w:rPr>
        <w:rFonts w:ascii="Arial" w:hAnsi="Arial"/>
        <w:sz w:val="18"/>
        <w:szCs w:val="24"/>
      </w:rPr>
      <w:instrText xml:space="preserve"> PAGE </w:instrText>
    </w:r>
    <w:r w:rsidR="00554D72" w:rsidRPr="00B862CC">
      <w:rPr>
        <w:rFonts w:ascii="Arial" w:hAnsi="Arial"/>
        <w:sz w:val="18"/>
        <w:szCs w:val="24"/>
      </w:rPr>
      <w:fldChar w:fldCharType="separate"/>
    </w:r>
    <w:r w:rsidR="00554D72">
      <w:rPr>
        <w:rFonts w:ascii="Arial" w:hAnsi="Arial"/>
        <w:sz w:val="18"/>
        <w:szCs w:val="24"/>
      </w:rPr>
      <w:t>1</w:t>
    </w:r>
    <w:r w:rsidR="00554D72" w:rsidRPr="00B862CC">
      <w:rPr>
        <w:rFonts w:ascii="Arial" w:hAnsi="Arial"/>
        <w:sz w:val="18"/>
        <w:szCs w:val="24"/>
      </w:rPr>
      <w:fldChar w:fldCharType="end"/>
    </w:r>
    <w:r w:rsidR="00554D72" w:rsidRPr="00B862CC">
      <w:rPr>
        <w:rFonts w:ascii="Arial" w:hAnsi="Arial"/>
        <w:sz w:val="18"/>
        <w:szCs w:val="24"/>
      </w:rPr>
      <w:t>/</w:t>
    </w:r>
    <w:r w:rsidR="00554D72" w:rsidRPr="00B862CC">
      <w:rPr>
        <w:rFonts w:ascii="Arial" w:hAnsi="Arial"/>
        <w:sz w:val="18"/>
        <w:szCs w:val="24"/>
      </w:rPr>
      <w:fldChar w:fldCharType="begin"/>
    </w:r>
    <w:r w:rsidR="00554D72" w:rsidRPr="00B862CC">
      <w:rPr>
        <w:rFonts w:ascii="Arial" w:hAnsi="Arial"/>
        <w:sz w:val="18"/>
        <w:szCs w:val="24"/>
      </w:rPr>
      <w:instrText xml:space="preserve"> NUMPAGES </w:instrText>
    </w:r>
    <w:r w:rsidR="00554D72" w:rsidRPr="00B862CC">
      <w:rPr>
        <w:rFonts w:ascii="Arial" w:hAnsi="Arial"/>
        <w:sz w:val="18"/>
        <w:szCs w:val="24"/>
      </w:rPr>
      <w:fldChar w:fldCharType="separate"/>
    </w:r>
    <w:r w:rsidR="00554D72">
      <w:rPr>
        <w:rFonts w:ascii="Arial" w:hAnsi="Arial"/>
        <w:sz w:val="18"/>
        <w:szCs w:val="24"/>
      </w:rPr>
      <w:t>1</w:t>
    </w:r>
    <w:r w:rsidR="00554D72"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E8F" w:rsidRDefault="001E6E8F">
      <w:r>
        <w:separator/>
      </w:r>
    </w:p>
  </w:footnote>
  <w:footnote w:type="continuationSeparator" w:id="0">
    <w:p w:rsidR="001E6E8F" w:rsidRDefault="001E6E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F0C61"/>
    <w:multiLevelType w:val="hybridMultilevel"/>
    <w:tmpl w:val="8DCC7844"/>
    <w:lvl w:ilvl="0" w:tplc="64125F88">
      <w:start w:val="1"/>
      <w:numFmt w:val="decimal"/>
      <w:lvlText w:val="%1."/>
      <w:lvlJc w:val="left"/>
      <w:pPr>
        <w:ind w:left="476" w:hanging="360"/>
        <w:jc w:val="left"/>
      </w:pPr>
      <w:rPr>
        <w:rFonts w:ascii="Arial" w:eastAsia="Calibri" w:hAnsi="Arial" w:cs="Arial" w:hint="default"/>
        <w:w w:val="100"/>
        <w:sz w:val="24"/>
        <w:szCs w:val="24"/>
        <w:lang w:val="pl-PL" w:eastAsia="en-US" w:bidi="ar-SA"/>
      </w:rPr>
    </w:lvl>
    <w:lvl w:ilvl="1" w:tplc="AA40E822">
      <w:numFmt w:val="bullet"/>
      <w:lvlText w:val="•"/>
      <w:lvlJc w:val="left"/>
      <w:pPr>
        <w:ind w:left="1326" w:hanging="360"/>
      </w:pPr>
      <w:rPr>
        <w:rFonts w:hint="default"/>
        <w:lang w:val="pl-PL" w:eastAsia="en-US" w:bidi="ar-SA"/>
      </w:rPr>
    </w:lvl>
    <w:lvl w:ilvl="2" w:tplc="2132D9FE">
      <w:numFmt w:val="bullet"/>
      <w:lvlText w:val="•"/>
      <w:lvlJc w:val="left"/>
      <w:pPr>
        <w:ind w:left="2173" w:hanging="360"/>
      </w:pPr>
      <w:rPr>
        <w:rFonts w:hint="default"/>
        <w:lang w:val="pl-PL" w:eastAsia="en-US" w:bidi="ar-SA"/>
      </w:rPr>
    </w:lvl>
    <w:lvl w:ilvl="3" w:tplc="97B6B372">
      <w:numFmt w:val="bullet"/>
      <w:lvlText w:val="•"/>
      <w:lvlJc w:val="left"/>
      <w:pPr>
        <w:ind w:left="3019" w:hanging="360"/>
      </w:pPr>
      <w:rPr>
        <w:rFonts w:hint="default"/>
        <w:lang w:val="pl-PL" w:eastAsia="en-US" w:bidi="ar-SA"/>
      </w:rPr>
    </w:lvl>
    <w:lvl w:ilvl="4" w:tplc="9B42BD98">
      <w:numFmt w:val="bullet"/>
      <w:lvlText w:val="•"/>
      <w:lvlJc w:val="left"/>
      <w:pPr>
        <w:ind w:left="3866" w:hanging="360"/>
      </w:pPr>
      <w:rPr>
        <w:rFonts w:hint="default"/>
        <w:lang w:val="pl-PL" w:eastAsia="en-US" w:bidi="ar-SA"/>
      </w:rPr>
    </w:lvl>
    <w:lvl w:ilvl="5" w:tplc="FA4244DC">
      <w:numFmt w:val="bullet"/>
      <w:lvlText w:val="•"/>
      <w:lvlJc w:val="left"/>
      <w:pPr>
        <w:ind w:left="4713" w:hanging="360"/>
      </w:pPr>
      <w:rPr>
        <w:rFonts w:hint="default"/>
        <w:lang w:val="pl-PL" w:eastAsia="en-US" w:bidi="ar-SA"/>
      </w:rPr>
    </w:lvl>
    <w:lvl w:ilvl="6" w:tplc="007AB572">
      <w:numFmt w:val="bullet"/>
      <w:lvlText w:val="•"/>
      <w:lvlJc w:val="left"/>
      <w:pPr>
        <w:ind w:left="5559" w:hanging="360"/>
      </w:pPr>
      <w:rPr>
        <w:rFonts w:hint="default"/>
        <w:lang w:val="pl-PL" w:eastAsia="en-US" w:bidi="ar-SA"/>
      </w:rPr>
    </w:lvl>
    <w:lvl w:ilvl="7" w:tplc="550890B4">
      <w:numFmt w:val="bullet"/>
      <w:lvlText w:val="•"/>
      <w:lvlJc w:val="left"/>
      <w:pPr>
        <w:ind w:left="6406" w:hanging="360"/>
      </w:pPr>
      <w:rPr>
        <w:rFonts w:hint="default"/>
        <w:lang w:val="pl-PL" w:eastAsia="en-US" w:bidi="ar-SA"/>
      </w:rPr>
    </w:lvl>
    <w:lvl w:ilvl="8" w:tplc="B09A7B5E">
      <w:numFmt w:val="bullet"/>
      <w:lvlText w:val="•"/>
      <w:lvlJc w:val="left"/>
      <w:pPr>
        <w:ind w:left="7253" w:hanging="360"/>
      </w:pPr>
      <w:rPr>
        <w:rFonts w:hint="default"/>
        <w:lang w:val="pl-PL" w:eastAsia="en-US" w:bidi="ar-SA"/>
      </w:rPr>
    </w:lvl>
  </w:abstractNum>
  <w:abstractNum w:abstractNumId="1" w15:restartNumberingAfterBreak="0">
    <w:nsid w:val="31A13B0D"/>
    <w:multiLevelType w:val="hybridMultilevel"/>
    <w:tmpl w:val="FA123DCC"/>
    <w:lvl w:ilvl="0" w:tplc="DF64BC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C7564EB"/>
    <w:multiLevelType w:val="hybridMultilevel"/>
    <w:tmpl w:val="456824BC"/>
    <w:lvl w:ilvl="0" w:tplc="87DEDB5A">
      <w:start w:val="1"/>
      <w:numFmt w:val="decimal"/>
      <w:lvlText w:val="%1."/>
      <w:lvlJc w:val="left"/>
      <w:pPr>
        <w:ind w:left="476" w:hanging="360"/>
        <w:jc w:val="left"/>
      </w:pPr>
      <w:rPr>
        <w:rFonts w:ascii="Calibri" w:eastAsia="Calibri" w:hAnsi="Calibri" w:cs="Calibri" w:hint="default"/>
        <w:w w:val="100"/>
        <w:sz w:val="22"/>
        <w:szCs w:val="22"/>
        <w:lang w:val="pl-PL" w:eastAsia="en-US" w:bidi="ar-SA"/>
      </w:rPr>
    </w:lvl>
    <w:lvl w:ilvl="1" w:tplc="AA40E822">
      <w:numFmt w:val="bullet"/>
      <w:lvlText w:val="•"/>
      <w:lvlJc w:val="left"/>
      <w:pPr>
        <w:ind w:left="1326" w:hanging="360"/>
      </w:pPr>
      <w:rPr>
        <w:rFonts w:hint="default"/>
        <w:lang w:val="pl-PL" w:eastAsia="en-US" w:bidi="ar-SA"/>
      </w:rPr>
    </w:lvl>
    <w:lvl w:ilvl="2" w:tplc="2132D9FE">
      <w:numFmt w:val="bullet"/>
      <w:lvlText w:val="•"/>
      <w:lvlJc w:val="left"/>
      <w:pPr>
        <w:ind w:left="2173" w:hanging="360"/>
      </w:pPr>
      <w:rPr>
        <w:rFonts w:hint="default"/>
        <w:lang w:val="pl-PL" w:eastAsia="en-US" w:bidi="ar-SA"/>
      </w:rPr>
    </w:lvl>
    <w:lvl w:ilvl="3" w:tplc="97B6B372">
      <w:numFmt w:val="bullet"/>
      <w:lvlText w:val="•"/>
      <w:lvlJc w:val="left"/>
      <w:pPr>
        <w:ind w:left="3019" w:hanging="360"/>
      </w:pPr>
      <w:rPr>
        <w:rFonts w:hint="default"/>
        <w:lang w:val="pl-PL" w:eastAsia="en-US" w:bidi="ar-SA"/>
      </w:rPr>
    </w:lvl>
    <w:lvl w:ilvl="4" w:tplc="9B42BD98">
      <w:numFmt w:val="bullet"/>
      <w:lvlText w:val="•"/>
      <w:lvlJc w:val="left"/>
      <w:pPr>
        <w:ind w:left="3866" w:hanging="360"/>
      </w:pPr>
      <w:rPr>
        <w:rFonts w:hint="default"/>
        <w:lang w:val="pl-PL" w:eastAsia="en-US" w:bidi="ar-SA"/>
      </w:rPr>
    </w:lvl>
    <w:lvl w:ilvl="5" w:tplc="FA4244DC">
      <w:numFmt w:val="bullet"/>
      <w:lvlText w:val="•"/>
      <w:lvlJc w:val="left"/>
      <w:pPr>
        <w:ind w:left="4713" w:hanging="360"/>
      </w:pPr>
      <w:rPr>
        <w:rFonts w:hint="default"/>
        <w:lang w:val="pl-PL" w:eastAsia="en-US" w:bidi="ar-SA"/>
      </w:rPr>
    </w:lvl>
    <w:lvl w:ilvl="6" w:tplc="007AB572">
      <w:numFmt w:val="bullet"/>
      <w:lvlText w:val="•"/>
      <w:lvlJc w:val="left"/>
      <w:pPr>
        <w:ind w:left="5559" w:hanging="360"/>
      </w:pPr>
      <w:rPr>
        <w:rFonts w:hint="default"/>
        <w:lang w:val="pl-PL" w:eastAsia="en-US" w:bidi="ar-SA"/>
      </w:rPr>
    </w:lvl>
    <w:lvl w:ilvl="7" w:tplc="550890B4">
      <w:numFmt w:val="bullet"/>
      <w:lvlText w:val="•"/>
      <w:lvlJc w:val="left"/>
      <w:pPr>
        <w:ind w:left="6406" w:hanging="360"/>
      </w:pPr>
      <w:rPr>
        <w:rFonts w:hint="default"/>
        <w:lang w:val="pl-PL" w:eastAsia="en-US" w:bidi="ar-SA"/>
      </w:rPr>
    </w:lvl>
    <w:lvl w:ilvl="8" w:tplc="B09A7B5E">
      <w:numFmt w:val="bullet"/>
      <w:lvlText w:val="•"/>
      <w:lvlJc w:val="left"/>
      <w:pPr>
        <w:ind w:left="7253" w:hanging="360"/>
      </w:pPr>
      <w:rPr>
        <w:rFonts w:hint="default"/>
        <w:lang w:val="pl-PL"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437"/>
    <w:rsid w:val="00015E2B"/>
    <w:rsid w:val="00057D02"/>
    <w:rsid w:val="000613E0"/>
    <w:rsid w:val="000852B7"/>
    <w:rsid w:val="00114DE4"/>
    <w:rsid w:val="001403E1"/>
    <w:rsid w:val="0015017D"/>
    <w:rsid w:val="00152970"/>
    <w:rsid w:val="001A126F"/>
    <w:rsid w:val="001A571A"/>
    <w:rsid w:val="001D06CC"/>
    <w:rsid w:val="001E6E8F"/>
    <w:rsid w:val="001F225A"/>
    <w:rsid w:val="001F77B6"/>
    <w:rsid w:val="00233A78"/>
    <w:rsid w:val="00234599"/>
    <w:rsid w:val="002941E4"/>
    <w:rsid w:val="002B1C74"/>
    <w:rsid w:val="002D1C97"/>
    <w:rsid w:val="002F189F"/>
    <w:rsid w:val="00345A46"/>
    <w:rsid w:val="00384EFD"/>
    <w:rsid w:val="003A5D57"/>
    <w:rsid w:val="003D23F9"/>
    <w:rsid w:val="004222DA"/>
    <w:rsid w:val="00431110"/>
    <w:rsid w:val="00453637"/>
    <w:rsid w:val="00453E59"/>
    <w:rsid w:val="00460DC4"/>
    <w:rsid w:val="004675BF"/>
    <w:rsid w:val="005079A4"/>
    <w:rsid w:val="0053666D"/>
    <w:rsid w:val="00546278"/>
    <w:rsid w:val="00554D72"/>
    <w:rsid w:val="0055546F"/>
    <w:rsid w:val="005869DA"/>
    <w:rsid w:val="005B21BB"/>
    <w:rsid w:val="005B2437"/>
    <w:rsid w:val="005C0930"/>
    <w:rsid w:val="005C2979"/>
    <w:rsid w:val="005D796F"/>
    <w:rsid w:val="0060415D"/>
    <w:rsid w:val="006327E7"/>
    <w:rsid w:val="006D4AE5"/>
    <w:rsid w:val="00750E69"/>
    <w:rsid w:val="00854803"/>
    <w:rsid w:val="0086050E"/>
    <w:rsid w:val="00860A6D"/>
    <w:rsid w:val="00862B7D"/>
    <w:rsid w:val="0087224A"/>
    <w:rsid w:val="00881C07"/>
    <w:rsid w:val="008C064B"/>
    <w:rsid w:val="008E6175"/>
    <w:rsid w:val="009149C3"/>
    <w:rsid w:val="0092520A"/>
    <w:rsid w:val="00953AA1"/>
    <w:rsid w:val="0095641D"/>
    <w:rsid w:val="009848D0"/>
    <w:rsid w:val="009C6E25"/>
    <w:rsid w:val="009D169F"/>
    <w:rsid w:val="00A220FB"/>
    <w:rsid w:val="00AB5D68"/>
    <w:rsid w:val="00AB6CA0"/>
    <w:rsid w:val="00AC7637"/>
    <w:rsid w:val="00AC7B67"/>
    <w:rsid w:val="00AD5E99"/>
    <w:rsid w:val="00AE65B0"/>
    <w:rsid w:val="00AF509B"/>
    <w:rsid w:val="00B02308"/>
    <w:rsid w:val="00B26D41"/>
    <w:rsid w:val="00B361A9"/>
    <w:rsid w:val="00B802EF"/>
    <w:rsid w:val="00BA5AAB"/>
    <w:rsid w:val="00BC3C82"/>
    <w:rsid w:val="00BD4E0C"/>
    <w:rsid w:val="00C0317F"/>
    <w:rsid w:val="00C152AE"/>
    <w:rsid w:val="00CA2407"/>
    <w:rsid w:val="00CA356C"/>
    <w:rsid w:val="00CA7407"/>
    <w:rsid w:val="00CB6FEC"/>
    <w:rsid w:val="00CC1EE7"/>
    <w:rsid w:val="00CF444F"/>
    <w:rsid w:val="00D1574A"/>
    <w:rsid w:val="00D248D2"/>
    <w:rsid w:val="00DE306E"/>
    <w:rsid w:val="00E02559"/>
    <w:rsid w:val="00E32881"/>
    <w:rsid w:val="00E74582"/>
    <w:rsid w:val="00EB3650"/>
    <w:rsid w:val="00EB3CD9"/>
    <w:rsid w:val="00ED2742"/>
    <w:rsid w:val="00EE0964"/>
    <w:rsid w:val="00EF1037"/>
    <w:rsid w:val="00F004A8"/>
    <w:rsid w:val="00F16162"/>
    <w:rsid w:val="00F624B5"/>
    <w:rsid w:val="00F741C6"/>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54E9F9C5-3B15-4866-8BE0-8B399BC38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 w:type="paragraph" w:styleId="Akapitzlist">
    <w:name w:val="List Paragraph"/>
    <w:basedOn w:val="Normalny"/>
    <w:uiPriority w:val="1"/>
    <w:qFormat/>
    <w:rsid w:val="00CA7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4286">
      <w:bodyDiv w:val="1"/>
      <w:marLeft w:val="0"/>
      <w:marRight w:val="0"/>
      <w:marTop w:val="0"/>
      <w:marBottom w:val="0"/>
      <w:divBdr>
        <w:top w:val="none" w:sz="0" w:space="0" w:color="auto"/>
        <w:left w:val="none" w:sz="0" w:space="0" w:color="auto"/>
        <w:bottom w:val="none" w:sz="0" w:space="0" w:color="auto"/>
        <w:right w:val="none" w:sz="0" w:space="0" w:color="auto"/>
      </w:divBdr>
    </w:div>
    <w:div w:id="313611275">
      <w:bodyDiv w:val="1"/>
      <w:marLeft w:val="0"/>
      <w:marRight w:val="0"/>
      <w:marTop w:val="0"/>
      <w:marBottom w:val="0"/>
      <w:divBdr>
        <w:top w:val="none" w:sz="0" w:space="0" w:color="auto"/>
        <w:left w:val="none" w:sz="0" w:space="0" w:color="auto"/>
        <w:bottom w:val="none" w:sz="0" w:space="0" w:color="auto"/>
        <w:right w:val="none" w:sz="0" w:space="0" w:color="auto"/>
      </w:divBdr>
    </w:div>
    <w:div w:id="1216818556">
      <w:bodyDiv w:val="1"/>
      <w:marLeft w:val="0"/>
      <w:marRight w:val="0"/>
      <w:marTop w:val="0"/>
      <w:marBottom w:val="0"/>
      <w:divBdr>
        <w:top w:val="none" w:sz="0" w:space="0" w:color="auto"/>
        <w:left w:val="none" w:sz="0" w:space="0" w:color="auto"/>
        <w:bottom w:val="none" w:sz="0" w:space="0" w:color="auto"/>
        <w:right w:val="none" w:sz="0" w:space="0" w:color="auto"/>
      </w:divBdr>
    </w:div>
    <w:div w:id="1299724519">
      <w:bodyDiv w:val="1"/>
      <w:marLeft w:val="0"/>
      <w:marRight w:val="0"/>
      <w:marTop w:val="0"/>
      <w:marBottom w:val="0"/>
      <w:divBdr>
        <w:top w:val="none" w:sz="0" w:space="0" w:color="auto"/>
        <w:left w:val="none" w:sz="0" w:space="0" w:color="auto"/>
        <w:bottom w:val="none" w:sz="0" w:space="0" w:color="auto"/>
        <w:right w:val="none" w:sz="0" w:space="0" w:color="auto"/>
      </w:divBdr>
    </w:div>
    <w:div w:id="1502433506">
      <w:bodyDiv w:val="1"/>
      <w:marLeft w:val="0"/>
      <w:marRight w:val="0"/>
      <w:marTop w:val="0"/>
      <w:marBottom w:val="0"/>
      <w:divBdr>
        <w:top w:val="none" w:sz="0" w:space="0" w:color="auto"/>
        <w:left w:val="none" w:sz="0" w:space="0" w:color="auto"/>
        <w:bottom w:val="none" w:sz="0" w:space="0" w:color="auto"/>
        <w:right w:val="none" w:sz="0" w:space="0" w:color="auto"/>
      </w:divBdr>
    </w:div>
    <w:div w:id="172131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2120</Words>
  <Characters>13605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Krzysztof Jarząb</dc:creator>
  <cp:keywords/>
  <cp:lastModifiedBy>Danuta Karlikowska</cp:lastModifiedBy>
  <cp:revision>7</cp:revision>
  <cp:lastPrinted>2024-05-08T09:13:00Z</cp:lastPrinted>
  <dcterms:created xsi:type="dcterms:W3CDTF">2024-05-08T08:22:00Z</dcterms:created>
  <dcterms:modified xsi:type="dcterms:W3CDTF">2024-05-08T10:13:00Z</dcterms:modified>
</cp:coreProperties>
</file>