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B7B89" w:rsidRPr="006B7B8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B7B89" w:rsidRPr="006B7B89">
        <w:rPr>
          <w:b/>
          <w:sz w:val="22"/>
          <w:szCs w:val="22"/>
        </w:rPr>
        <w:t>NZ-26-2024-24-D-P-AC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7B89" w:rsidRPr="00110593" w:rsidTr="00617F37">
        <w:tc>
          <w:tcPr>
            <w:tcW w:w="9104" w:type="dxa"/>
            <w:shd w:val="clear" w:color="auto" w:fill="D9D9D9"/>
          </w:tcPr>
          <w:p w:rsidR="006B7B89" w:rsidRPr="00110593" w:rsidRDefault="006B7B89" w:rsidP="00617F3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B7B89" w:rsidRPr="00110593" w:rsidRDefault="006B7B89" w:rsidP="00617F3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B7B89">
              <w:t>(t.j. Dz. U. z 2023r. poz. 1605)</w:t>
            </w:r>
            <w:r w:rsidRPr="00110593">
              <w:t xml:space="preserve"> (dalej jako: ustawa Pzp), dotyczące:</w:t>
            </w:r>
          </w:p>
          <w:p w:rsidR="006B7B89" w:rsidRPr="0043102D" w:rsidRDefault="006B7B89" w:rsidP="00617F3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B7B89" w:rsidRPr="00110593" w:rsidRDefault="006B7B89" w:rsidP="00617F3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B7B8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B7B89">
        <w:rPr>
          <w:b/>
          <w:sz w:val="22"/>
          <w:szCs w:val="22"/>
        </w:rPr>
        <w:t>Dostawy śrub kotwicowych i kaniuli barkowych oraz staplerów liniowych i okrężnych ujęte w 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9C8" w:rsidRDefault="008079C8">
      <w:r>
        <w:separator/>
      </w:r>
    </w:p>
  </w:endnote>
  <w:endnote w:type="continuationSeparator" w:id="0">
    <w:p w:rsidR="008079C8" w:rsidRDefault="0080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B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B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9C8" w:rsidRDefault="008079C8">
      <w:r>
        <w:separator/>
      </w:r>
    </w:p>
  </w:footnote>
  <w:footnote w:type="continuationSeparator" w:id="0">
    <w:p w:rsidR="008079C8" w:rsidRDefault="008079C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9C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B7B89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9C8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CE9575-5CC2-456B-A96A-AF9701766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03A2-F570-41C0-9FCB-2D65F7D8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2024-05-07T07:47:00Z</dcterms:created>
  <dcterms:modified xsi:type="dcterms:W3CDTF">2024-05-07T07:47:00Z</dcterms:modified>
</cp:coreProperties>
</file>