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1F329E40" w:rsidR="008A362B" w:rsidRPr="009339C3" w:rsidRDefault="00DD7D75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b/>
          <w:sz w:val="28"/>
          <w:szCs w:val="20"/>
        </w:rPr>
        <w:t>Aranżacja zabytkowego wnętrza holu w budynku Collegium Minus (tablice)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7C59D02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DD7D75">
      <w:rPr>
        <w:rFonts w:ascii="Arial" w:eastAsia="Times New Roman" w:hAnsi="Arial" w:cs="Arial"/>
        <w:bCs/>
        <w:i/>
        <w:sz w:val="20"/>
      </w:rPr>
      <w:t>3/1116/24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339C3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DD7D75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41</cp:revision>
  <cp:lastPrinted>2023-11-02T10:40:00Z</cp:lastPrinted>
  <dcterms:created xsi:type="dcterms:W3CDTF">2021-03-08T08:29:00Z</dcterms:created>
  <dcterms:modified xsi:type="dcterms:W3CDTF">2024-04-29T08:42:00Z</dcterms:modified>
</cp:coreProperties>
</file>