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46908E9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B972C5">
        <w:rPr>
          <w:b/>
          <w:sz w:val="22"/>
          <w:szCs w:val="22"/>
        </w:rPr>
        <w:t>37</w:t>
      </w:r>
      <w:r w:rsidR="00916A1E" w:rsidRPr="00916A1E">
        <w:rPr>
          <w:b/>
          <w:sz w:val="22"/>
          <w:szCs w:val="22"/>
        </w:rPr>
        <w:t>/202</w:t>
      </w:r>
      <w:r w:rsidR="009F3095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61676E6" w14:textId="21D26051" w:rsidR="00B972C5" w:rsidRPr="00B972C5" w:rsidRDefault="00B972C5" w:rsidP="00B972C5">
      <w:pPr>
        <w:pStyle w:val="Tekstpodstawowywcity"/>
        <w:spacing w:line="360" w:lineRule="auto"/>
        <w:jc w:val="center"/>
        <w:rPr>
          <w:b/>
          <w:sz w:val="22"/>
          <w:szCs w:val="22"/>
        </w:rPr>
      </w:pPr>
      <w:r w:rsidRPr="00B972C5">
        <w:rPr>
          <w:b/>
          <w:sz w:val="22"/>
          <w:szCs w:val="22"/>
        </w:rPr>
        <w:t>Zakup i dostawa produktów farmaceutycznych (programy lekowe, substancje czynne</w:t>
      </w:r>
    </w:p>
    <w:p w14:paraId="5B15911D" w14:textId="77777777" w:rsidR="00B972C5" w:rsidRDefault="00B972C5" w:rsidP="00B972C5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B972C5">
        <w:rPr>
          <w:b/>
          <w:sz w:val="22"/>
          <w:szCs w:val="22"/>
        </w:rPr>
        <w:t>w chemioterapii, pozostałe leki)</w:t>
      </w:r>
    </w:p>
    <w:p w14:paraId="0ECEE534" w14:textId="53FE3A76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B277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14</cp:revision>
  <cp:lastPrinted>2021-09-23T09:22:00Z</cp:lastPrinted>
  <dcterms:created xsi:type="dcterms:W3CDTF">2021-07-06T08:08:00Z</dcterms:created>
  <dcterms:modified xsi:type="dcterms:W3CDTF">2024-05-16T11:57:00Z</dcterms:modified>
</cp:coreProperties>
</file>