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10"/>
        <w:gridCol w:w="546"/>
        <w:gridCol w:w="1268"/>
        <w:gridCol w:w="1356"/>
        <w:gridCol w:w="1695"/>
        <w:gridCol w:w="2483"/>
        <w:gridCol w:w="2258"/>
        <w:gridCol w:w="1006"/>
        <w:gridCol w:w="2578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061061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6151D24A" w:rsidR="0017609D" w:rsidRPr="00916F31" w:rsidRDefault="00061061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Barwiarka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57D8A688" w:rsidR="00BC2D44" w:rsidRPr="00730DF4" w:rsidRDefault="00541321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4DE545E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904A28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3E68D7F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98D57A9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62EFD3AD" w14:textId="77777777" w:rsidR="00AB1215" w:rsidRDefault="00AB1215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5F2BE0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5F2BE0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5F2BE0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E7F9C" w14:textId="4F7D89A1" w:rsidR="00730DF4" w:rsidRPr="00A80815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Aparat przeznaczone do barwienia preparatów histopatologicznych i cytologicznych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B54E8" w14:textId="69190536" w:rsidR="00730DF4" w:rsidRPr="00A80815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Stacje odczynnikowe umieszczone na dwóch poziomach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D297A" w14:textId="77777777" w:rsidR="007D0CE2" w:rsidRPr="00994301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994301">
              <w:rPr>
                <w:rFonts w:ascii="Arial" w:hAnsi="Arial" w:cs="Arial"/>
                <w:sz w:val="22"/>
                <w:szCs w:val="22"/>
              </w:rPr>
              <w:t xml:space="preserve">Możliwość rozbudowy urządzenia o </w:t>
            </w:r>
            <w:proofErr w:type="spellStart"/>
            <w:r w:rsidRPr="00994301">
              <w:rPr>
                <w:rFonts w:ascii="Arial" w:hAnsi="Arial" w:cs="Arial"/>
                <w:sz w:val="22"/>
                <w:szCs w:val="22"/>
              </w:rPr>
              <w:t>zaklejarkę</w:t>
            </w:r>
            <w:proofErr w:type="spellEnd"/>
            <w:r w:rsidRPr="00994301">
              <w:rPr>
                <w:rFonts w:ascii="Arial" w:hAnsi="Arial" w:cs="Arial"/>
                <w:sz w:val="22"/>
                <w:szCs w:val="22"/>
              </w:rPr>
              <w:t xml:space="preserve"> z elektromechanicznym modułem pośredniczącym do transferu wybarwionych szkiełek z barwiarki do </w:t>
            </w:r>
            <w:proofErr w:type="spellStart"/>
            <w:r w:rsidRPr="00994301">
              <w:rPr>
                <w:rFonts w:ascii="Arial" w:hAnsi="Arial" w:cs="Arial"/>
                <w:sz w:val="22"/>
                <w:szCs w:val="22"/>
              </w:rPr>
              <w:t>zaklejarki</w:t>
            </w:r>
            <w:proofErr w:type="spellEnd"/>
            <w:r w:rsidRPr="0099430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149955" w14:textId="1A089F4D" w:rsidR="00730DF4" w:rsidRPr="00A80815" w:rsidRDefault="00730DF4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5F2BE0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94695" w14:textId="77777777" w:rsidR="007D0CE2" w:rsidRPr="00A80815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System zapobiegający mieszaniu się materiału histopatologicznego i cytologicznego (programy histopatologiczne i cytologiczne nie posiadają tych samych stacji odczynnikowych, co uniemożliwia przypadkową kontaminację odczynników świeżym materiałem </w:t>
            </w:r>
            <w:proofErr w:type="gramStart"/>
            <w:r w:rsidRPr="00A80815">
              <w:rPr>
                <w:rFonts w:ascii="Arial" w:hAnsi="Arial" w:cs="Arial"/>
                <w:sz w:val="22"/>
                <w:szCs w:val="22"/>
              </w:rPr>
              <w:t>cytologicznym )</w:t>
            </w:r>
            <w:proofErr w:type="gramEnd"/>
            <w:r w:rsidRPr="00A80815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6C6F2C11" w14:textId="57D40073" w:rsidR="00730DF4" w:rsidRPr="00A80815" w:rsidRDefault="00730DF4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D79BF" w14:textId="6CF25DE1" w:rsidR="007D0CE2" w:rsidRPr="004E74C6" w:rsidRDefault="002409D2" w:rsidP="00A8081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Minimum </w:t>
            </w:r>
            <w:r w:rsidR="007D0CE2" w:rsidRPr="004E74C6">
              <w:rPr>
                <w:rFonts w:ascii="Arial" w:hAnsi="Arial" w:cs="Arial"/>
                <w:sz w:val="22"/>
                <w:szCs w:val="22"/>
              </w:rPr>
              <w:t>41 stacji:</w:t>
            </w:r>
          </w:p>
          <w:p w14:paraId="02845F52" w14:textId="291D33C1" w:rsidR="007D0CE2" w:rsidRPr="004E74C6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4E74C6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- </w:t>
            </w:r>
            <w:r w:rsidR="002409D2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min </w:t>
            </w:r>
            <w:r w:rsidRPr="004E74C6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5 stacji grzewczych o stałej temperaturze do suszenia </w:t>
            </w:r>
            <w:proofErr w:type="gramStart"/>
            <w:r w:rsidRPr="004E74C6">
              <w:rPr>
                <w:rFonts w:ascii="Arial" w:hAnsi="Arial" w:cs="Arial"/>
                <w:sz w:val="22"/>
                <w:szCs w:val="22"/>
                <w:highlight w:val="lightGray"/>
              </w:rPr>
              <w:t>preparatów</w:t>
            </w:r>
            <w:r w:rsidR="002409D2">
              <w:rPr>
                <w:rFonts w:ascii="Arial" w:hAnsi="Arial" w:cs="Arial"/>
                <w:sz w:val="22"/>
                <w:szCs w:val="22"/>
              </w:rPr>
              <w:t>( punktowane</w:t>
            </w:r>
            <w:proofErr w:type="gramEnd"/>
            <w:r w:rsidR="002409D2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B49727B" w14:textId="77777777" w:rsidR="007D0CE2" w:rsidRPr="004E74C6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4E74C6">
              <w:rPr>
                <w:rFonts w:ascii="Arial" w:hAnsi="Arial" w:cs="Arial"/>
                <w:sz w:val="22"/>
                <w:szCs w:val="22"/>
              </w:rPr>
              <w:t xml:space="preserve">- 26 stacji odczynnikowych </w:t>
            </w:r>
          </w:p>
          <w:p w14:paraId="3BB99A2D" w14:textId="77777777" w:rsidR="007D0CE2" w:rsidRPr="004E74C6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4E74C6">
              <w:rPr>
                <w:rFonts w:ascii="Arial" w:hAnsi="Arial" w:cs="Arial"/>
                <w:sz w:val="22"/>
                <w:szCs w:val="22"/>
              </w:rPr>
              <w:t xml:space="preserve">- 6 pojemników z wodą bieżącą do płukania, </w:t>
            </w:r>
          </w:p>
          <w:p w14:paraId="3FA92F4F" w14:textId="53A951F1" w:rsidR="004E74C6" w:rsidRPr="004E74C6" w:rsidRDefault="007D0CE2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4E74C6">
              <w:rPr>
                <w:rFonts w:ascii="Arial" w:hAnsi="Arial" w:cs="Arial"/>
                <w:sz w:val="22"/>
                <w:szCs w:val="22"/>
              </w:rPr>
              <w:t xml:space="preserve">- 2 stacje załadowcze </w:t>
            </w:r>
          </w:p>
          <w:p w14:paraId="5A5C7162" w14:textId="11215E0D" w:rsidR="007D0CE2" w:rsidRPr="004E74C6" w:rsidRDefault="004E74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4E74C6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7D0CE2" w:rsidRPr="004E74C6">
              <w:rPr>
                <w:rFonts w:ascii="Arial" w:hAnsi="Arial" w:cs="Arial"/>
                <w:sz w:val="22"/>
                <w:szCs w:val="22"/>
              </w:rPr>
              <w:t>2 stacje wyładowcze (umożliwiające dodanie lub usunięcie koszyka bez konieczności otwierania głównej pokrywy, osłaniającej przed parowaniem odczynników)</w:t>
            </w:r>
          </w:p>
          <w:p w14:paraId="071DB892" w14:textId="7B220D72" w:rsidR="00730DF4" w:rsidRPr="004E74C6" w:rsidRDefault="00730DF4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9C847" w14:textId="77777777" w:rsidR="002409D2" w:rsidRDefault="002409D2" w:rsidP="002409D2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1A3E683F" w14:textId="34450D5B" w:rsidR="00730DF4" w:rsidRPr="00730DF4" w:rsidRDefault="002409D2" w:rsidP="002409D2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F3EC06" w14:textId="77777777" w:rsidR="007D0CE2" w:rsidRPr="00A80815" w:rsidRDefault="007D0CE2" w:rsidP="00A8081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Każdy pojemnik na odczynniki o pojemności 320 ml </w:t>
            </w:r>
          </w:p>
          <w:p w14:paraId="63A40E6E" w14:textId="646ACE2A" w:rsidR="00730DF4" w:rsidRPr="00A80815" w:rsidRDefault="00730DF4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CC374" w14:textId="77777777" w:rsidR="00467BAF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7CA758B" w14:textId="7AB31B71" w:rsidR="00730DF4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585A" w14:textId="05AABAED" w:rsidR="00730DF4" w:rsidRPr="00A80815" w:rsidRDefault="00E747BB" w:rsidP="00A80815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A80815">
              <w:rPr>
                <w:rFonts w:ascii="Arial" w:hAnsi="Arial" w:cs="Arial"/>
                <w:sz w:val="22"/>
                <w:szCs w:val="22"/>
              </w:rPr>
              <w:t>Jednoczesna  obsługa</w:t>
            </w:r>
            <w:proofErr w:type="gramEnd"/>
            <w:r w:rsidRPr="00A80815">
              <w:rPr>
                <w:rFonts w:ascii="Arial" w:hAnsi="Arial" w:cs="Arial"/>
                <w:sz w:val="22"/>
                <w:szCs w:val="22"/>
              </w:rPr>
              <w:t xml:space="preserve"> do maksymalnie 15 koszyczków. Przepustowość w standardowym programie barwienia HE 400 preparatów/godzinę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CF49295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5CCB7" w14:textId="2FB7C554" w:rsidR="00E747BB" w:rsidRPr="00A80815" w:rsidRDefault="00E747BB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Koszyki o pojemności 20 szkiełek każdy </w:t>
            </w:r>
          </w:p>
          <w:p w14:paraId="21F15C6B" w14:textId="3079D175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341D3" w14:textId="77777777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56ABC25E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3373B" w14:textId="77777777" w:rsidR="00E747BB" w:rsidRPr="00A80815" w:rsidRDefault="00E747BB" w:rsidP="00A8081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System oszczędności wody bieżącej; woda jest pobierana tylko </w:t>
            </w:r>
            <w:proofErr w:type="gramStart"/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>wtedy</w:t>
            </w:r>
            <w:proofErr w:type="gramEnd"/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gdy jest aktywna funkcja płukania</w:t>
            </w:r>
          </w:p>
          <w:p w14:paraId="4C8FD5E1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E6EFA" w14:textId="77777777" w:rsidR="00561F7F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50D0383" w14:textId="49C44D8D" w:rsidR="00E747BB" w:rsidRPr="00730DF4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3D0C5E1A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38182" w14:textId="0F608E74" w:rsidR="00E747BB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Zabezpieczenie kodem – uniemożliwiające przypadkowe wprowadzenie niechcianych zmian podczas procesu barwienia</w:t>
            </w:r>
          </w:p>
          <w:p w14:paraId="28DFA2FE" w14:textId="49AF2B91" w:rsidR="00E747BB" w:rsidRPr="00A80815" w:rsidRDefault="00E747BB" w:rsidP="00A8081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595BC5" w14:textId="77777777" w:rsidR="00E747BB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267CAD30" w14:textId="642253BB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528ED897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C9028" w14:textId="77777777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Możliwość wprowadzenia 50 programów do pamięci urządzenia</w:t>
            </w:r>
          </w:p>
          <w:p w14:paraId="3461E55D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DB9E75E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44D6D" w14:textId="77777777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Możliwość wprowadzenia 50 kroków dla każdego programu</w:t>
            </w:r>
          </w:p>
          <w:p w14:paraId="3D7F6D51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7424BC9F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A5884" w14:textId="5A871E86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Możliwość uruchomienia kilku niezależnych programów jednocześnie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6DBC690F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3F754" w14:textId="23F90479" w:rsidR="00E747BB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Niezależnie dla każdej stacji programowany czas barwienia w zakresie od 0 do 59min, 59s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C40D63" w14:textId="19357F98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40DAA4D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A29BC" w14:textId="08D2EE90" w:rsidR="00E747BB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Wbudowana funkcja kontroli – urządzenie automatycznie dokonuje sprawdzenia i eliminacji ewentualnych konfliktów czasowych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400104" w14:textId="346CACE8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06FAD01F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05E44" w14:textId="6413D2FB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>Funkcja umożliwiająca przerwanie barwienia ostatnio załadowanego koszyczka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FDA81" w14:textId="77777777" w:rsidR="00561F7F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56ED0AC7" w14:textId="76EE778D" w:rsidR="00E747BB" w:rsidRPr="00730DF4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8C2CA43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46430" w14:textId="7D4462F3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Dźwiękowa informacja o błędach jak i o zakończeniu procesu barwienia z możliwością konfiguracji do indywidualnych preferencji użytkownika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3BFB2CFE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F9B0EE" w14:textId="2D1BDC6C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Mechaniczny system odciekania zapobiegający mieszaniu się odczynników w kolejnych stacjach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76A735E3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8E487" w14:textId="58B1E906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Kontrola stanu zużycia odczynników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340AF434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89F9B" w14:textId="47F7DB23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Wyświetlanie informacji o aktualnym stanie urządzenia (krok programu, numer stacji, czas pozostałego barwienia)</w:t>
            </w:r>
          </w:p>
          <w:p w14:paraId="7ED6AEE0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04D00CE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77C00" w14:textId="56316B45" w:rsidR="00E747BB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Automatyczna blokada ramienia w chwili otwarcia osłony głównej (gwarancja </w:t>
            </w:r>
            <w:proofErr w:type="gramStart"/>
            <w:r w:rsidRPr="00A80815">
              <w:rPr>
                <w:rFonts w:ascii="Arial" w:hAnsi="Arial" w:cs="Arial"/>
                <w:sz w:val="22"/>
                <w:szCs w:val="22"/>
              </w:rPr>
              <w:t>bezpieczeństwa  użytkownika</w:t>
            </w:r>
            <w:proofErr w:type="gramEnd"/>
            <w:r w:rsidRPr="00A80815">
              <w:rPr>
                <w:rFonts w:ascii="Arial" w:hAnsi="Arial" w:cs="Arial"/>
                <w:sz w:val="22"/>
                <w:szCs w:val="22"/>
              </w:rPr>
              <w:t xml:space="preserve"> 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ED5F418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9E9D4" w14:textId="14FE0638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Wbudowane podtrzymanie bateryjne urządzenia (UPS) –</w:t>
            </w:r>
            <w:proofErr w:type="gramStart"/>
            <w:r w:rsidRPr="00A80815">
              <w:rPr>
                <w:rFonts w:ascii="Arial" w:hAnsi="Arial" w:cs="Arial"/>
                <w:sz w:val="22"/>
                <w:szCs w:val="22"/>
              </w:rPr>
              <w:t>min  40</w:t>
            </w:r>
            <w:proofErr w:type="gramEnd"/>
            <w:r w:rsidRPr="00A80815">
              <w:rPr>
                <w:rFonts w:ascii="Arial" w:hAnsi="Arial" w:cs="Arial"/>
                <w:sz w:val="22"/>
                <w:szCs w:val="22"/>
              </w:rPr>
              <w:t xml:space="preserve"> minut</w:t>
            </w:r>
          </w:p>
          <w:p w14:paraId="3CF72168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65D34B77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C19A7" w14:textId="77777777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Indywidualne pokrywki każdej stacji zapobiegają odparowywaniu odczynników z pojemników, gdy urządzenie nie jest używane oraz pokrywy zbiorcze dedykowane dla grup odczynników ułatwiające szybsze rozpoczęcie pracy. </w:t>
            </w:r>
          </w:p>
          <w:p w14:paraId="386AC2FA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2AE30A87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05885" w14:textId="4E9FA350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Drzwi urządzenia wyposażone w magnetyczny </w:t>
            </w:r>
            <w:proofErr w:type="spellStart"/>
            <w:r w:rsidRPr="00A80815">
              <w:rPr>
                <w:rFonts w:ascii="Arial" w:hAnsi="Arial" w:cs="Arial"/>
                <w:sz w:val="22"/>
                <w:szCs w:val="22"/>
              </w:rPr>
              <w:t>domyk</w:t>
            </w:r>
            <w:proofErr w:type="spellEnd"/>
            <w:r w:rsidRPr="00A80815">
              <w:rPr>
                <w:rFonts w:ascii="Arial" w:hAnsi="Arial" w:cs="Arial"/>
                <w:sz w:val="22"/>
                <w:szCs w:val="22"/>
              </w:rPr>
              <w:t>, uniemożliwiający przypadkowe otwarcie się ich podczas pracy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096E0" w14:textId="113B68F9" w:rsidR="00E747BB" w:rsidRPr="00730DF4" w:rsidRDefault="00561F7F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7D67EEDF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5B558" w14:textId="7807E502" w:rsidR="00E747BB" w:rsidRPr="00A80815" w:rsidRDefault="00673EC6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Urządzenie wyposażone w aktywny filtr węglowy do filtrowania oparów z urządzenia oraz możliwość podłączenia do centralnego odciągu oparów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0A56F7D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AA8E3" w14:textId="77777777" w:rsidR="00673EC6" w:rsidRPr="00A80815" w:rsidRDefault="00673EC6" w:rsidP="00A80815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A80815">
              <w:rPr>
                <w:rFonts w:ascii="Arial" w:hAnsi="Arial" w:cs="Arial"/>
                <w:sz w:val="22"/>
                <w:szCs w:val="22"/>
                <w:highlight w:val="lightGray"/>
              </w:rPr>
              <w:t>Oświetlenie wnętrza barwiarki typu LED (automatyczne podświetlenie w momencie otwarcia drzwi);</w:t>
            </w:r>
          </w:p>
          <w:p w14:paraId="07905E29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386EE" w14:textId="77777777" w:rsidR="00561F7F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878F155" w14:textId="76AC2CD4" w:rsidR="00E747BB" w:rsidRPr="00730DF4" w:rsidRDefault="00561F7F" w:rsidP="00561F7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0AE1741F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C7CB2B" w14:textId="1E24CCFD" w:rsidR="00E747BB" w:rsidRPr="00A80815" w:rsidRDefault="001427DF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Duży, ustawiony pod kątem kolorowy, dotykowy ekran o przekątnej powyżej 30 cm zapewniający łatwość obsługi i ergonomię pracy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EFB9976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706B1" w14:textId="266E0489" w:rsidR="00E747BB" w:rsidRPr="00A80815" w:rsidRDefault="001427DF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Graficzna informacja powalająca na śledziennie wszystkich zachodzących procesów w koszyczkach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026F4CB4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A144F" w14:textId="4FC8E9D8" w:rsidR="00E747BB" w:rsidRPr="00A80815" w:rsidRDefault="001427DF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Wbudowany port USB we frontowej części urządzenia – pozwalający na łatwe przenoszenie danych na inne urządzenie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095E" w14:textId="146031FE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12A3CE8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19A9A" w14:textId="56D38EA4" w:rsidR="00E747BB" w:rsidRPr="00A80815" w:rsidRDefault="001427DF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Możliwość zapisywania protokołów barwienia, konfiguracji startowej urządzenia, dziennika zdarzeń oraz tworzenia kopii zapasowych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4BEBE" w14:textId="469DFB96" w:rsidR="00E747BB" w:rsidRPr="00730DF4" w:rsidRDefault="00561F7F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698AE867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16CC7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70F66" w14:textId="378212A4" w:rsidR="00E747BB" w:rsidRPr="00A80815" w:rsidRDefault="001427DF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Oprogramowanie w języku polskim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466E55" w14:textId="754E6140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38825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BB6BAFB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D795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563BC" w14:textId="361E5C9A" w:rsidR="00E747BB" w:rsidRPr="00A80815" w:rsidRDefault="001427DF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Głośność urządzenia poniżej 70dB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500EAB" w14:textId="5AF5C76A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A697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C006884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A694F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6D024" w14:textId="45D36373" w:rsidR="00E747BB" w:rsidRPr="00A80815" w:rsidRDefault="001427DF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 xml:space="preserve">Wymiary modułu barwiącego max 79cm x 72 cm x 89 cm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BEA1D" w14:textId="21F00E64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503E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1D3C7A7C" w14:textId="77777777" w:rsidTr="005F2BE0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A78A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F5ADC" w14:textId="50A2227D" w:rsidR="001427DF" w:rsidRPr="00A80815" w:rsidRDefault="001427DF" w:rsidP="00A80815">
            <w:pPr>
              <w:rPr>
                <w:rFonts w:ascii="Arial" w:hAnsi="Arial" w:cs="Arial"/>
                <w:sz w:val="22"/>
                <w:szCs w:val="22"/>
              </w:rPr>
            </w:pPr>
            <w:r w:rsidRPr="00A80815">
              <w:rPr>
                <w:rFonts w:ascii="Arial" w:hAnsi="Arial" w:cs="Arial"/>
                <w:sz w:val="22"/>
                <w:szCs w:val="22"/>
              </w:rPr>
              <w:t>Waga modułu barwiącego max 87 kg</w:t>
            </w:r>
          </w:p>
          <w:p w14:paraId="24045969" w14:textId="77777777" w:rsidR="00E747BB" w:rsidRPr="00A80815" w:rsidRDefault="00E747BB" w:rsidP="00A80815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6E9C9" w14:textId="1164E6DA" w:rsidR="00E747BB" w:rsidRPr="00730DF4" w:rsidRDefault="00E747BB" w:rsidP="00E747BB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44A5E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3994A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429BCB56" w14:textId="77777777" w:rsidTr="005F2BE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E747BB" w:rsidRPr="00730DF4" w:rsidRDefault="00E747BB" w:rsidP="00E747BB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E747BB" w:rsidRPr="00730DF4" w14:paraId="29854BF9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5FCC0555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5631D498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3AF3D7A3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E747BB" w:rsidRPr="00730DF4" w:rsidRDefault="00E747BB" w:rsidP="00E747BB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E747BB" w:rsidRPr="00730DF4" w:rsidRDefault="00E747BB" w:rsidP="00E747BB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364A436D" w14:textId="77777777" w:rsidTr="005F2BE0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27BF00F2" w14:textId="77777777" w:rsidTr="005F2BE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666B5BE9" w14:textId="77777777" w:rsidTr="005F2BE0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E747BB" w:rsidRPr="00730DF4" w:rsidRDefault="00E747BB" w:rsidP="00E747BB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E747BB" w:rsidRPr="00730DF4" w:rsidRDefault="00E747BB" w:rsidP="00E747B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47BB" w:rsidRPr="00730DF4" w14:paraId="284C7CB5" w14:textId="77777777" w:rsidTr="005F2BE0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E747BB" w:rsidRPr="00730DF4" w:rsidRDefault="00E747BB" w:rsidP="00E747BB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E747BB" w:rsidRPr="00730DF4" w14:paraId="61669738" w14:textId="77777777" w:rsidTr="005F2BE0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E747BB" w:rsidRPr="00730DF4" w:rsidRDefault="00E747BB" w:rsidP="00E747BB">
            <w:pPr>
              <w:rPr>
                <w:rFonts w:ascii="Arial" w:hAnsi="Arial" w:cs="Arial"/>
              </w:rPr>
            </w:pPr>
          </w:p>
        </w:tc>
      </w:tr>
      <w:tr w:rsidR="00E747BB" w:rsidRPr="00730DF4" w14:paraId="0F0DB179" w14:textId="77777777" w:rsidTr="005F2BE0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E747BB" w:rsidRPr="00730DF4" w:rsidRDefault="00E747BB" w:rsidP="00E747BB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43B71FD8" w14:textId="77777777" w:rsidTr="005F2BE0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6544D" w14:textId="77777777" w:rsidR="00E747BB" w:rsidRDefault="00E747BB" w:rsidP="00E747BB">
            <w:pPr>
              <w:ind w:left="360"/>
              <w:rPr>
                <w:rFonts w:ascii="Arial" w:hAnsi="Arial" w:cs="Arial"/>
              </w:rPr>
            </w:pPr>
          </w:p>
          <w:p w14:paraId="57C098C0" w14:textId="77777777" w:rsidR="005F2BE0" w:rsidRPr="005F2BE0" w:rsidRDefault="005F2BE0" w:rsidP="005F2BE0">
            <w:pPr>
              <w:rPr>
                <w:rFonts w:ascii="Arial" w:hAnsi="Arial" w:cs="Arial"/>
              </w:rPr>
            </w:pPr>
          </w:p>
          <w:p w14:paraId="2600A562" w14:textId="77777777" w:rsidR="005F2BE0" w:rsidRDefault="005F2BE0" w:rsidP="005F2BE0">
            <w:pPr>
              <w:rPr>
                <w:rFonts w:ascii="Arial" w:hAnsi="Arial" w:cs="Arial"/>
              </w:rPr>
            </w:pPr>
          </w:p>
          <w:p w14:paraId="30A4F77C" w14:textId="77777777" w:rsidR="005F2BE0" w:rsidRPr="005F2BE0" w:rsidRDefault="005F2BE0" w:rsidP="005F2BE0">
            <w:pPr>
              <w:rPr>
                <w:rFonts w:ascii="Arial" w:hAnsi="Arial" w:cs="Arial"/>
              </w:rPr>
            </w:pPr>
          </w:p>
        </w:tc>
      </w:tr>
      <w:tr w:rsidR="00E747BB" w:rsidRPr="00730DF4" w14:paraId="54D0FAB7" w14:textId="77777777" w:rsidTr="005F2BE0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0E8CE0A1" w14:textId="77777777" w:rsidTr="005F2BE0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4091AA0C" w14:textId="77777777" w:rsidTr="005F2BE0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61275753" w14:textId="77777777" w:rsidTr="005F2BE0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646417E2" w14:textId="77777777" w:rsidTr="005F2BE0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7320D2A5" w14:textId="77777777" w:rsidTr="005F2BE0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tr w:rsidR="00E747BB" w:rsidRPr="00730DF4" w14:paraId="743EE334" w14:textId="77777777" w:rsidTr="005F2BE0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E747BB" w:rsidRPr="00730DF4" w14:paraId="0BEDB12D" w14:textId="77777777" w:rsidTr="005F2BE0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E747BB" w:rsidRPr="00730DF4" w:rsidRDefault="00E747BB" w:rsidP="00E747B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E747BB" w:rsidRPr="00730DF4" w:rsidRDefault="00E747BB" w:rsidP="00E747BB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E747BB" w:rsidRPr="00730DF4" w:rsidRDefault="00E747BB" w:rsidP="00E747BB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E747BB" w:rsidRPr="00730DF4" w:rsidRDefault="00E747BB" w:rsidP="00E747BB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5F2BE0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7F676F" w14:textId="77777777" w:rsidR="00EC5A72" w:rsidRDefault="00EC5A72" w:rsidP="004845EA">
      <w:r>
        <w:separator/>
      </w:r>
    </w:p>
  </w:endnote>
  <w:endnote w:type="continuationSeparator" w:id="0">
    <w:p w14:paraId="290C657A" w14:textId="77777777" w:rsidR="00EC5A72" w:rsidRDefault="00EC5A7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1351C1E4" w:rsidR="001B6A27" w:rsidRPr="005F2BE0" w:rsidRDefault="005F2BE0" w:rsidP="004369F7">
    <w:pPr>
      <w:pStyle w:val="Stopka"/>
      <w:ind w:right="360"/>
      <w:jc w:val="right"/>
      <w:rPr>
        <w:rFonts w:ascii="Arial Narrow" w:hAnsi="Arial Narrow"/>
        <w:b/>
        <w:bCs/>
        <w:i/>
        <w:iCs/>
        <w:szCs w:val="28"/>
      </w:rPr>
    </w:pPr>
    <w:r w:rsidRPr="005F2BE0">
      <w:rPr>
        <w:rFonts w:ascii="Arial Narrow" w:hAnsi="Arial Narrow"/>
        <w:b/>
        <w:bCs/>
        <w:i/>
        <w:iCs/>
        <w:szCs w:val="28"/>
      </w:rPr>
      <w:t xml:space="preserve">Kwalifikowany </w:t>
    </w:r>
    <w:r w:rsidR="00BC2D44" w:rsidRPr="005F2BE0">
      <w:rPr>
        <w:rFonts w:ascii="Arial Narrow" w:hAnsi="Arial Narrow"/>
        <w:b/>
        <w:bCs/>
        <w:i/>
        <w:iCs/>
        <w:szCs w:val="28"/>
      </w:rPr>
      <w:t>p</w:t>
    </w:r>
    <w:r w:rsidR="001B6A27" w:rsidRPr="005F2BE0">
      <w:rPr>
        <w:rFonts w:ascii="Arial Narrow" w:hAnsi="Arial Narrow"/>
        <w:b/>
        <w:bCs/>
        <w:i/>
        <w:iCs/>
        <w:szCs w:val="28"/>
      </w:rPr>
      <w:t>odpis</w:t>
    </w:r>
    <w:r w:rsidR="00BC2D44" w:rsidRPr="005F2BE0">
      <w:rPr>
        <w:rFonts w:ascii="Arial Narrow" w:hAnsi="Arial Narrow"/>
        <w:b/>
        <w:bCs/>
        <w:i/>
        <w:iCs/>
        <w:szCs w:val="28"/>
      </w:rPr>
      <w:t xml:space="preserve"> </w:t>
    </w:r>
    <w:r w:rsidR="001B6A27" w:rsidRPr="005F2BE0">
      <w:rPr>
        <w:rFonts w:ascii="Arial Narrow" w:hAnsi="Arial Narrow"/>
        <w:b/>
        <w:bCs/>
        <w:i/>
        <w:iCs/>
        <w:szCs w:val="28"/>
      </w:rPr>
      <w:t>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A9C0FE" w14:textId="77777777" w:rsidR="00EC5A72" w:rsidRDefault="00EC5A72" w:rsidP="004845EA">
      <w:r>
        <w:separator/>
      </w:r>
    </w:p>
  </w:footnote>
  <w:footnote w:type="continuationSeparator" w:id="0">
    <w:p w14:paraId="3E4F5D09" w14:textId="77777777" w:rsidR="00EC5A72" w:rsidRDefault="00EC5A7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6D15C935" w:rsidR="001B6A27" w:rsidRPr="005F2BE0" w:rsidRDefault="001B6A27" w:rsidP="005F2BE0">
    <w:pPr>
      <w:pStyle w:val="Nagwek"/>
      <w:rPr>
        <w:rFonts w:ascii="Arial Narrow" w:hAnsi="Arial Narrow"/>
        <w:b/>
        <w:bCs/>
        <w:sz w:val="22"/>
      </w:rPr>
    </w:pPr>
    <w:r w:rsidRPr="005F2BE0">
      <w:rPr>
        <w:rFonts w:ascii="Arial Narrow" w:hAnsi="Arial Narrow"/>
        <w:b/>
        <w:bCs/>
        <w:sz w:val="22"/>
      </w:rPr>
      <w:t xml:space="preserve">Sprawa nr </w:t>
    </w:r>
    <w:r w:rsidR="005F2BE0" w:rsidRPr="005F2BE0">
      <w:rPr>
        <w:rFonts w:ascii="Arial Narrow" w:hAnsi="Arial Narrow"/>
        <w:b/>
        <w:bCs/>
        <w:sz w:val="22"/>
      </w:rPr>
      <w:t>109/2024</w:t>
    </w:r>
    <w:r w:rsidR="005F2BE0" w:rsidRPr="005F2BE0">
      <w:rPr>
        <w:rFonts w:ascii="Arial Narrow" w:hAnsi="Arial Narrow"/>
        <w:b/>
        <w:bCs/>
        <w:sz w:val="22"/>
      </w:rPr>
      <w:tab/>
    </w:r>
    <w:r w:rsidR="005F2BE0" w:rsidRPr="005F2BE0">
      <w:rPr>
        <w:rFonts w:ascii="Arial Narrow" w:hAnsi="Arial Narrow"/>
        <w:b/>
        <w:bCs/>
        <w:sz w:val="22"/>
      </w:rPr>
      <w:tab/>
    </w:r>
    <w:r w:rsidRPr="005F2BE0">
      <w:rPr>
        <w:rFonts w:ascii="Arial Narrow" w:hAnsi="Arial Narrow"/>
        <w:b/>
        <w:bCs/>
        <w:sz w:val="22"/>
      </w:rPr>
      <w:t xml:space="preserve">Specyfikacja techniczna </w:t>
    </w:r>
    <w:r w:rsidR="005F2BE0" w:rsidRPr="005F2BE0">
      <w:rPr>
        <w:rFonts w:ascii="Arial Narrow" w:hAnsi="Arial Narrow"/>
        <w:b/>
        <w:bCs/>
        <w:sz w:val="22"/>
      </w:rPr>
      <w:tab/>
    </w:r>
    <w:r w:rsidR="005F2BE0" w:rsidRPr="005F2BE0">
      <w:rPr>
        <w:rFonts w:ascii="Arial Narrow" w:hAnsi="Arial Narrow"/>
        <w:b/>
        <w:bCs/>
        <w:sz w:val="22"/>
      </w:rPr>
      <w:tab/>
    </w:r>
    <w:r w:rsidR="005F2BE0" w:rsidRPr="005F2BE0">
      <w:rPr>
        <w:rFonts w:ascii="Arial Narrow" w:hAnsi="Arial Narrow"/>
        <w:b/>
        <w:bCs/>
        <w:sz w:val="22"/>
      </w:rPr>
      <w:tab/>
    </w:r>
    <w:r w:rsidR="005F2BE0">
      <w:rPr>
        <w:rFonts w:ascii="Arial Narrow" w:hAnsi="Arial Narrow"/>
        <w:b/>
        <w:bCs/>
        <w:sz w:val="22"/>
      </w:rPr>
      <w:tab/>
    </w:r>
    <w:r w:rsidR="005F2BE0">
      <w:rPr>
        <w:rFonts w:ascii="Arial Narrow" w:hAnsi="Arial Narrow"/>
        <w:b/>
        <w:bCs/>
        <w:sz w:val="22"/>
      </w:rPr>
      <w:tab/>
    </w:r>
    <w:r w:rsidR="005F2BE0">
      <w:rPr>
        <w:rFonts w:ascii="Arial Narrow" w:hAnsi="Arial Narrow"/>
        <w:b/>
        <w:bCs/>
        <w:sz w:val="22"/>
      </w:rPr>
      <w:tab/>
    </w:r>
    <w:r w:rsidR="005F2BE0" w:rsidRPr="005F2BE0">
      <w:rPr>
        <w:rFonts w:ascii="Arial Narrow" w:hAnsi="Arial Narrow"/>
        <w:b/>
        <w:bCs/>
        <w:sz w:val="22"/>
      </w:rPr>
      <w:t>Załącznik 2 C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 w15:restartNumberingAfterBreak="0">
    <w:nsid w:val="67142F9A"/>
    <w:multiLevelType w:val="hybridMultilevel"/>
    <w:tmpl w:val="BC7C5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666926">
    <w:abstractNumId w:val="5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4"/>
  </w:num>
  <w:num w:numId="7" w16cid:durableId="16171795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78D"/>
    <w:rsid w:val="000078C1"/>
    <w:rsid w:val="00010852"/>
    <w:rsid w:val="00024357"/>
    <w:rsid w:val="000322B8"/>
    <w:rsid w:val="0005668E"/>
    <w:rsid w:val="00061061"/>
    <w:rsid w:val="00077D92"/>
    <w:rsid w:val="0008347C"/>
    <w:rsid w:val="000C7F7D"/>
    <w:rsid w:val="00116786"/>
    <w:rsid w:val="001427DF"/>
    <w:rsid w:val="00157765"/>
    <w:rsid w:val="00166A05"/>
    <w:rsid w:val="0017609D"/>
    <w:rsid w:val="001A0171"/>
    <w:rsid w:val="001A3016"/>
    <w:rsid w:val="001B6A27"/>
    <w:rsid w:val="001D3DA9"/>
    <w:rsid w:val="001D5CE1"/>
    <w:rsid w:val="00222F93"/>
    <w:rsid w:val="00223DCA"/>
    <w:rsid w:val="002409D2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67BAF"/>
    <w:rsid w:val="004845EA"/>
    <w:rsid w:val="004A2A86"/>
    <w:rsid w:val="004B0CC1"/>
    <w:rsid w:val="004B4B63"/>
    <w:rsid w:val="004E74C6"/>
    <w:rsid w:val="004F60B4"/>
    <w:rsid w:val="00541321"/>
    <w:rsid w:val="00545413"/>
    <w:rsid w:val="00561F7F"/>
    <w:rsid w:val="005B28BD"/>
    <w:rsid w:val="005D7755"/>
    <w:rsid w:val="005F2BE0"/>
    <w:rsid w:val="006030CC"/>
    <w:rsid w:val="00673EC6"/>
    <w:rsid w:val="006B5FD2"/>
    <w:rsid w:val="006E12D2"/>
    <w:rsid w:val="006E741E"/>
    <w:rsid w:val="00730DF4"/>
    <w:rsid w:val="00762EAA"/>
    <w:rsid w:val="00791DD0"/>
    <w:rsid w:val="007A253C"/>
    <w:rsid w:val="007A6BB7"/>
    <w:rsid w:val="007B78B4"/>
    <w:rsid w:val="007D0CE2"/>
    <w:rsid w:val="007E1FB8"/>
    <w:rsid w:val="00836C82"/>
    <w:rsid w:val="00854B8D"/>
    <w:rsid w:val="008642E3"/>
    <w:rsid w:val="008845A7"/>
    <w:rsid w:val="00893E37"/>
    <w:rsid w:val="008E2A03"/>
    <w:rsid w:val="009077B6"/>
    <w:rsid w:val="00916F31"/>
    <w:rsid w:val="009348A9"/>
    <w:rsid w:val="009375BB"/>
    <w:rsid w:val="009573C1"/>
    <w:rsid w:val="00964A28"/>
    <w:rsid w:val="00994301"/>
    <w:rsid w:val="00996C96"/>
    <w:rsid w:val="009B4A03"/>
    <w:rsid w:val="009C28EE"/>
    <w:rsid w:val="009D3056"/>
    <w:rsid w:val="009D3148"/>
    <w:rsid w:val="009E4D33"/>
    <w:rsid w:val="009F44F8"/>
    <w:rsid w:val="00A65E4E"/>
    <w:rsid w:val="00A754DD"/>
    <w:rsid w:val="00A757A8"/>
    <w:rsid w:val="00A80815"/>
    <w:rsid w:val="00AA3BAE"/>
    <w:rsid w:val="00AB1215"/>
    <w:rsid w:val="00AB5EDE"/>
    <w:rsid w:val="00AC53F1"/>
    <w:rsid w:val="00AC6645"/>
    <w:rsid w:val="00AD0C91"/>
    <w:rsid w:val="00AF2877"/>
    <w:rsid w:val="00B15658"/>
    <w:rsid w:val="00B53C4F"/>
    <w:rsid w:val="00BA66E5"/>
    <w:rsid w:val="00BC2D44"/>
    <w:rsid w:val="00C375C6"/>
    <w:rsid w:val="00C672D0"/>
    <w:rsid w:val="00C7558F"/>
    <w:rsid w:val="00C923AC"/>
    <w:rsid w:val="00CB1025"/>
    <w:rsid w:val="00CE62B2"/>
    <w:rsid w:val="00D000F9"/>
    <w:rsid w:val="00D4776A"/>
    <w:rsid w:val="00DF2AF1"/>
    <w:rsid w:val="00DF488C"/>
    <w:rsid w:val="00DF6DBA"/>
    <w:rsid w:val="00DF71DF"/>
    <w:rsid w:val="00E05144"/>
    <w:rsid w:val="00E47AFD"/>
    <w:rsid w:val="00E50CD1"/>
    <w:rsid w:val="00E53A8E"/>
    <w:rsid w:val="00E56F64"/>
    <w:rsid w:val="00E747BB"/>
    <w:rsid w:val="00E7586D"/>
    <w:rsid w:val="00E92C2F"/>
    <w:rsid w:val="00E94A1F"/>
    <w:rsid w:val="00E96A35"/>
    <w:rsid w:val="00EC36D0"/>
    <w:rsid w:val="00EC5A72"/>
    <w:rsid w:val="00F2610F"/>
    <w:rsid w:val="00F50B2F"/>
    <w:rsid w:val="00F87776"/>
    <w:rsid w:val="00F9150E"/>
    <w:rsid w:val="00FC42C0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1013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2024-08-21T11:33:00Z</cp:lastPrinted>
  <dcterms:created xsi:type="dcterms:W3CDTF">2024-07-30T16:02:00Z</dcterms:created>
  <dcterms:modified xsi:type="dcterms:W3CDTF">2024-08-21T11:33:00Z</dcterms:modified>
</cp:coreProperties>
</file>