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903AE8" w:rsidRDefault="00071DF6" w:rsidP="00035D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903AE8">
        <w:rPr>
          <w:rFonts w:ascii="Arial Narrow" w:hAnsi="Arial Narrow" w:cs="Arial"/>
          <w:sz w:val="22"/>
          <w:szCs w:val="24"/>
        </w:rPr>
        <w:t>Bydgoszcz</w:t>
      </w:r>
      <w:r w:rsidR="00035DEC" w:rsidRPr="00903AE8">
        <w:rPr>
          <w:rFonts w:ascii="Arial Narrow" w:hAnsi="Arial Narrow" w:cs="Arial"/>
          <w:sz w:val="22"/>
          <w:szCs w:val="24"/>
        </w:rPr>
        <w:t xml:space="preserve"> dnia: </w:t>
      </w:r>
      <w:r w:rsidRPr="00903AE8">
        <w:rPr>
          <w:rFonts w:ascii="Arial Narrow" w:hAnsi="Arial Narrow" w:cs="Arial"/>
          <w:sz w:val="22"/>
          <w:szCs w:val="24"/>
        </w:rPr>
        <w:t>2024-11-13</w:t>
      </w:r>
    </w:p>
    <w:p w:rsidR="00035DEC" w:rsidRPr="00903AE8" w:rsidRDefault="00071DF6" w:rsidP="00035DEC">
      <w:pPr>
        <w:spacing w:line="360" w:lineRule="auto"/>
        <w:rPr>
          <w:rFonts w:ascii="Arial Narrow" w:hAnsi="Arial Narrow" w:cs="Arial"/>
          <w:bCs/>
          <w:sz w:val="22"/>
          <w:szCs w:val="24"/>
        </w:rPr>
      </w:pPr>
      <w:r w:rsidRPr="00903AE8">
        <w:rPr>
          <w:rFonts w:ascii="Arial Narrow" w:hAnsi="Arial Narrow" w:cs="Arial"/>
          <w:bCs/>
          <w:sz w:val="22"/>
          <w:szCs w:val="24"/>
        </w:rPr>
        <w:t>10WSzKzP SPZOZ</w:t>
      </w:r>
    </w:p>
    <w:p w:rsidR="00035DEC" w:rsidRPr="00903AE8" w:rsidRDefault="00071DF6" w:rsidP="00035DEC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903AE8">
        <w:rPr>
          <w:rFonts w:ascii="Arial Narrow" w:hAnsi="Arial Narrow" w:cs="Arial"/>
          <w:sz w:val="22"/>
          <w:szCs w:val="24"/>
        </w:rPr>
        <w:t>Powstańców Warszawy</w:t>
      </w:r>
      <w:r w:rsidR="00035DEC" w:rsidRPr="00903AE8">
        <w:rPr>
          <w:rFonts w:ascii="Arial Narrow" w:hAnsi="Arial Narrow" w:cs="Arial"/>
          <w:sz w:val="22"/>
          <w:szCs w:val="24"/>
        </w:rPr>
        <w:t xml:space="preserve"> </w:t>
      </w:r>
      <w:r w:rsidRPr="00903AE8">
        <w:rPr>
          <w:rFonts w:ascii="Arial Narrow" w:hAnsi="Arial Narrow" w:cs="Arial"/>
          <w:sz w:val="22"/>
          <w:szCs w:val="24"/>
        </w:rPr>
        <w:t>5</w:t>
      </w:r>
    </w:p>
    <w:p w:rsidR="00035DEC" w:rsidRPr="00903AE8" w:rsidRDefault="00071DF6" w:rsidP="00035DEC">
      <w:pPr>
        <w:rPr>
          <w:rFonts w:ascii="Arial Narrow" w:hAnsi="Arial Narrow" w:cs="Arial"/>
          <w:sz w:val="22"/>
          <w:szCs w:val="24"/>
        </w:rPr>
      </w:pPr>
      <w:r w:rsidRPr="00903AE8">
        <w:rPr>
          <w:rFonts w:ascii="Arial Narrow" w:hAnsi="Arial Narrow" w:cs="Arial"/>
          <w:sz w:val="22"/>
          <w:szCs w:val="24"/>
        </w:rPr>
        <w:t>85-681</w:t>
      </w:r>
      <w:r w:rsidR="00035DEC" w:rsidRPr="00903AE8">
        <w:rPr>
          <w:rFonts w:ascii="Arial Narrow" w:hAnsi="Arial Narrow" w:cs="Arial"/>
          <w:sz w:val="22"/>
          <w:szCs w:val="24"/>
        </w:rPr>
        <w:t xml:space="preserve"> </w:t>
      </w:r>
      <w:r w:rsidRPr="00903AE8">
        <w:rPr>
          <w:rFonts w:ascii="Arial Narrow" w:hAnsi="Arial Narrow" w:cs="Arial"/>
          <w:sz w:val="22"/>
          <w:szCs w:val="24"/>
        </w:rPr>
        <w:t>Bydgoszcz</w:t>
      </w:r>
    </w:p>
    <w:p w:rsidR="00035DEC" w:rsidRPr="00903AE8" w:rsidRDefault="00035DEC" w:rsidP="00035DEC">
      <w:pPr>
        <w:jc w:val="both"/>
        <w:rPr>
          <w:rFonts w:ascii="Arial Narrow" w:hAnsi="Arial Narrow" w:cs="Arial"/>
          <w:bCs/>
          <w:sz w:val="16"/>
          <w:szCs w:val="18"/>
        </w:rPr>
      </w:pPr>
      <w:r w:rsidRPr="00903AE8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903AE8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903AE8" w:rsidRPr="00903AE8" w:rsidRDefault="00903AE8" w:rsidP="00035D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903AE8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903AE8">
        <w:rPr>
          <w:rFonts w:ascii="Arial Narrow" w:hAnsi="Arial Narrow" w:cs="Arial"/>
          <w:b/>
          <w:bCs/>
          <w:sz w:val="22"/>
          <w:szCs w:val="18"/>
        </w:rPr>
        <w:t>8782/24</w:t>
      </w:r>
    </w:p>
    <w:p w:rsidR="00035DEC" w:rsidRPr="00903AE8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903AE8">
        <w:rPr>
          <w:rFonts w:ascii="Arial Narrow" w:hAnsi="Arial Narrow" w:cs="Arial"/>
          <w:sz w:val="22"/>
          <w:szCs w:val="24"/>
        </w:rPr>
        <w:t>WYKONAWCY</w:t>
      </w:r>
    </w:p>
    <w:p w:rsidR="00035DEC" w:rsidRPr="00903AE8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903AE8">
        <w:rPr>
          <w:rFonts w:ascii="Arial Narrow" w:hAnsi="Arial Narrow" w:cs="Arial"/>
          <w:sz w:val="22"/>
          <w:szCs w:val="24"/>
        </w:rPr>
        <w:t>ubiegający się o zamówienie</w:t>
      </w:r>
    </w:p>
    <w:p w:rsidR="00035DEC" w:rsidRPr="00903AE8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903AE8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903AE8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903AE8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903AE8" w:rsidTr="00B32FF9">
        <w:tc>
          <w:tcPr>
            <w:tcW w:w="2269" w:type="dxa"/>
            <w:shd w:val="clear" w:color="auto" w:fill="auto"/>
          </w:tcPr>
          <w:p w:rsidR="00035DEC" w:rsidRPr="00903AE8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903AE8" w:rsidRDefault="00071DF6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Dostawa produktów leczniczych w szpitalnych programach lekowych oraz chemioterapii na 24 miesiące z prawem opcji na 6 miesięcy</w:t>
            </w:r>
            <w:r w:rsidR="00035DEC" w:rsidRPr="00903AE8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071DF6" w:rsidRPr="00903AE8" w:rsidTr="00BF1E25">
        <w:tc>
          <w:tcPr>
            <w:tcW w:w="2269" w:type="dxa"/>
            <w:shd w:val="clear" w:color="auto" w:fill="auto"/>
          </w:tcPr>
          <w:p w:rsidR="00071DF6" w:rsidRPr="00903AE8" w:rsidRDefault="00071DF6" w:rsidP="00BF1E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71DF6" w:rsidRPr="00903AE8" w:rsidRDefault="00071DF6" w:rsidP="00BF1E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/>
                <w:bCs/>
                <w:sz w:val="22"/>
                <w:szCs w:val="24"/>
              </w:rPr>
              <w:t>152/2024</w:t>
            </w:r>
          </w:p>
        </w:tc>
      </w:tr>
    </w:tbl>
    <w:p w:rsidR="00035DEC" w:rsidRPr="00903AE8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903AE8" w:rsidTr="00B32FF9">
        <w:tc>
          <w:tcPr>
            <w:tcW w:w="9330" w:type="dxa"/>
            <w:shd w:val="clear" w:color="auto" w:fill="F2F2F2"/>
            <w:hideMark/>
          </w:tcPr>
          <w:p w:rsidR="00035DEC" w:rsidRPr="001728ED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1728ED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903AE8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903AE8">
        <w:rPr>
          <w:rFonts w:ascii="Arial Narrow" w:hAnsi="Arial Narrow" w:cs="Arial"/>
          <w:sz w:val="22"/>
          <w:szCs w:val="24"/>
        </w:rPr>
        <w:t xml:space="preserve">Zamawiający, </w:t>
      </w:r>
      <w:r w:rsidR="00071DF6" w:rsidRPr="00903AE8">
        <w:rPr>
          <w:rFonts w:ascii="Arial Narrow" w:hAnsi="Arial Narrow" w:cs="Arial"/>
          <w:sz w:val="22"/>
          <w:szCs w:val="24"/>
        </w:rPr>
        <w:t>10WSzKzP SPZOZ</w:t>
      </w:r>
      <w:r w:rsidRPr="00903AE8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903AE8">
        <w:rPr>
          <w:rFonts w:ascii="Arial Narrow" w:hAnsi="Arial Narrow" w:cs="Arial"/>
          <w:sz w:val="22"/>
          <w:szCs w:val="24"/>
        </w:rPr>
        <w:t>1</w:t>
      </w:r>
      <w:r w:rsidRPr="00903AE8">
        <w:rPr>
          <w:rFonts w:ascii="Arial Narrow" w:hAnsi="Arial Narrow" w:cs="Arial"/>
          <w:sz w:val="22"/>
          <w:szCs w:val="24"/>
        </w:rPr>
        <w:t>3</w:t>
      </w:r>
      <w:r w:rsidR="0029606A" w:rsidRPr="00903AE8">
        <w:rPr>
          <w:rFonts w:ascii="Arial Narrow" w:hAnsi="Arial Narrow" w:cs="Arial"/>
          <w:sz w:val="22"/>
          <w:szCs w:val="24"/>
        </w:rPr>
        <w:t>5</w:t>
      </w:r>
      <w:r w:rsidRPr="00903AE8">
        <w:rPr>
          <w:rFonts w:ascii="Arial Narrow" w:hAnsi="Arial Narrow" w:cs="Arial"/>
          <w:sz w:val="22"/>
          <w:szCs w:val="24"/>
        </w:rPr>
        <w:t xml:space="preserve"> ust</w:t>
      </w:r>
      <w:r w:rsidR="00D9049C" w:rsidRPr="00903AE8">
        <w:rPr>
          <w:rFonts w:ascii="Arial Narrow" w:hAnsi="Arial Narrow" w:cs="Arial"/>
          <w:sz w:val="22"/>
          <w:szCs w:val="24"/>
        </w:rPr>
        <w:t xml:space="preserve">. </w:t>
      </w:r>
      <w:r w:rsidR="0029606A" w:rsidRPr="00903AE8">
        <w:rPr>
          <w:rFonts w:ascii="Arial Narrow" w:hAnsi="Arial Narrow" w:cs="Arial"/>
          <w:sz w:val="22"/>
          <w:szCs w:val="24"/>
        </w:rPr>
        <w:t>6</w:t>
      </w:r>
      <w:r w:rsidRPr="00903AE8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903AE8">
        <w:rPr>
          <w:rFonts w:ascii="Arial Narrow" w:hAnsi="Arial Narrow" w:cs="Arial"/>
          <w:sz w:val="22"/>
          <w:szCs w:val="24"/>
        </w:rPr>
        <w:t>11</w:t>
      </w:r>
      <w:r w:rsidRPr="00903AE8">
        <w:rPr>
          <w:rFonts w:ascii="Arial Narrow" w:hAnsi="Arial Narrow" w:cs="Arial"/>
          <w:sz w:val="22"/>
          <w:szCs w:val="24"/>
        </w:rPr>
        <w:t xml:space="preserve"> </w:t>
      </w:r>
      <w:r w:rsidR="0029606A" w:rsidRPr="00903AE8">
        <w:rPr>
          <w:rFonts w:ascii="Arial Narrow" w:hAnsi="Arial Narrow" w:cs="Arial"/>
          <w:sz w:val="22"/>
          <w:szCs w:val="24"/>
        </w:rPr>
        <w:t xml:space="preserve">września </w:t>
      </w:r>
      <w:r w:rsidRPr="00903AE8">
        <w:rPr>
          <w:rFonts w:ascii="Arial Narrow" w:hAnsi="Arial Narrow" w:cs="Arial"/>
          <w:sz w:val="22"/>
          <w:szCs w:val="24"/>
        </w:rPr>
        <w:t>20</w:t>
      </w:r>
      <w:r w:rsidR="0029606A" w:rsidRPr="00903AE8">
        <w:rPr>
          <w:rFonts w:ascii="Arial Narrow" w:hAnsi="Arial Narrow" w:cs="Arial"/>
          <w:sz w:val="22"/>
          <w:szCs w:val="24"/>
        </w:rPr>
        <w:t>19</w:t>
      </w:r>
      <w:r w:rsidRPr="00903AE8">
        <w:rPr>
          <w:rFonts w:ascii="Arial Narrow" w:hAnsi="Arial Narrow" w:cs="Arial"/>
          <w:sz w:val="22"/>
          <w:szCs w:val="24"/>
        </w:rPr>
        <w:t xml:space="preserve"> r</w:t>
      </w:r>
      <w:r w:rsidR="0029606A" w:rsidRPr="00903AE8">
        <w:rPr>
          <w:rFonts w:ascii="Arial Narrow" w:hAnsi="Arial Narrow" w:cs="Arial"/>
          <w:sz w:val="22"/>
          <w:szCs w:val="24"/>
        </w:rPr>
        <w:t>.</w:t>
      </w:r>
      <w:r w:rsidRPr="00903AE8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903AE8">
        <w:rPr>
          <w:rFonts w:ascii="Arial Narrow" w:hAnsi="Arial Narrow" w:cs="Arial"/>
          <w:sz w:val="22"/>
          <w:szCs w:val="24"/>
        </w:rPr>
        <w:t>z</w:t>
      </w:r>
      <w:r w:rsidRPr="00903AE8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903AE8">
        <w:rPr>
          <w:rFonts w:ascii="Arial Narrow" w:hAnsi="Arial Narrow" w:cs="Arial"/>
          <w:sz w:val="22"/>
          <w:szCs w:val="24"/>
        </w:rPr>
        <w:t>p</w:t>
      </w:r>
      <w:r w:rsidRPr="00903AE8">
        <w:rPr>
          <w:rFonts w:ascii="Arial Narrow" w:hAnsi="Arial Narrow" w:cs="Arial"/>
          <w:sz w:val="22"/>
          <w:szCs w:val="24"/>
        </w:rPr>
        <w:t xml:space="preserve">ublicznych </w:t>
      </w:r>
      <w:r w:rsidR="00071DF6" w:rsidRPr="00903AE8">
        <w:rPr>
          <w:rFonts w:ascii="Arial Narrow" w:hAnsi="Arial Narrow" w:cs="Arial"/>
          <w:sz w:val="22"/>
          <w:szCs w:val="24"/>
        </w:rPr>
        <w:t>(</w:t>
      </w:r>
      <w:proofErr w:type="spellStart"/>
      <w:r w:rsidR="00071DF6" w:rsidRPr="00903AE8">
        <w:rPr>
          <w:rFonts w:ascii="Arial Narrow" w:hAnsi="Arial Narrow" w:cs="Arial"/>
          <w:sz w:val="22"/>
          <w:szCs w:val="24"/>
        </w:rPr>
        <w:t>t.j</w:t>
      </w:r>
      <w:proofErr w:type="spellEnd"/>
      <w:r w:rsidR="00071DF6" w:rsidRPr="00903AE8">
        <w:rPr>
          <w:rFonts w:ascii="Arial Narrow" w:hAnsi="Arial Narrow" w:cs="Arial"/>
          <w:sz w:val="22"/>
          <w:szCs w:val="24"/>
        </w:rPr>
        <w:t>. Dz. U. z 2024 poz. 1320)</w:t>
      </w:r>
      <w:r w:rsidR="00BE7BFD" w:rsidRPr="00903AE8">
        <w:rPr>
          <w:rFonts w:ascii="Arial Narrow" w:hAnsi="Arial Narrow" w:cs="Arial"/>
          <w:sz w:val="22"/>
          <w:szCs w:val="24"/>
        </w:rPr>
        <w:t xml:space="preserve">, </w:t>
      </w:r>
      <w:r w:rsidR="00D9049C" w:rsidRPr="00903AE8">
        <w:rPr>
          <w:rFonts w:ascii="Arial Narrow" w:hAnsi="Arial Narrow" w:cs="Arial"/>
          <w:sz w:val="22"/>
          <w:szCs w:val="24"/>
        </w:rPr>
        <w:t>udostępnia</w:t>
      </w:r>
      <w:r w:rsidR="00BE7BFD" w:rsidRPr="00903AE8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903AE8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903AE8">
        <w:rPr>
          <w:rFonts w:ascii="Arial Narrow" w:hAnsi="Arial Narrow" w:cs="Arial"/>
          <w:sz w:val="22"/>
          <w:szCs w:val="24"/>
          <w:lang w:eastAsia="ar-SA"/>
        </w:rPr>
        <w:t xml:space="preserve">zwanej dalej </w:t>
      </w:r>
      <w:r w:rsidR="0012774F" w:rsidRPr="00903AE8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903AE8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903AE8">
        <w:rPr>
          <w:rFonts w:ascii="Arial Narrow" w:hAnsi="Arial Narrow" w:cs="Arial"/>
          <w:sz w:val="22"/>
          <w:szCs w:val="24"/>
        </w:rPr>
        <w:t>wraz z wyjaśnieniami</w:t>
      </w:r>
      <w:r w:rsidR="0012774F" w:rsidRPr="00903AE8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071DF6" w:rsidRPr="00903AE8" w:rsidTr="00BF1E25">
        <w:tc>
          <w:tcPr>
            <w:tcW w:w="9356" w:type="dxa"/>
            <w:shd w:val="clear" w:color="auto" w:fill="auto"/>
          </w:tcPr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1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Czy Zamawiający dopuści zaoferowanie w Zadaniu 9 </w:t>
            </w:r>
            <w:proofErr w:type="spellStart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Filgrastymu</w:t>
            </w:r>
            <w:proofErr w:type="spellEnd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 w wielkości opakowań x 5 ampułkostrzykawek z przeliczeniem ilości?</w:t>
            </w:r>
          </w:p>
          <w:p w:rsid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WYJAŚNIENIA (STANOWISKO) ZAMAWIAJĄCEGO </w:t>
            </w:r>
          </w:p>
          <w:p w:rsidR="00B17F45" w:rsidRPr="00B17F45" w:rsidRDefault="00B17F45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4"/>
              </w:rPr>
              <w:t>Zamawiający dopuszcza powyższe, po przeliczeniu ilości do pełnego opakowania w górę.</w:t>
            </w:r>
          </w:p>
          <w:p w:rsidR="00903AE8" w:rsidRDefault="00903AE8" w:rsidP="00903AE8">
            <w:pPr>
              <w:spacing w:before="60" w:after="60" w:line="276" w:lineRule="auto"/>
              <w:ind w:right="-72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903AE8" w:rsidRPr="00903AE8" w:rsidRDefault="00903AE8" w:rsidP="00903AE8">
            <w:pPr>
              <w:spacing w:before="60" w:after="6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PYTANIE 2 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Pytania do wzoru umowy dostawy: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1.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Do §3 wzoru umowy: Prosimy o modyfikację treści §3 wzoru umowy poprzez skonkretyzowanie granicznych wartości dla poszczególnych pozycji asortymentowych, jakie Zamawiający dopuszcza zrealizować w ramach </w:t>
            </w: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lastRenderedPageBreak/>
              <w:t>prawa opcji. Jako przykładowe rozwiązania wskazujemy na możliwość dokonania zastrzeżenia ogólnego odnoszącego się do wszystkich pozycji, np. poprzez podanie, że całkowita ilość przedmiotu zamówienia, określona dla każdej z pozycji, zamówiona i dostarczona w ramach opcji nie przekroczy 30% wartości tej pozycji, lub zastrzeżenia szczegółowego poprzez dodanie w tabeli asortymentowej nowej kolumny zawierającej ilości opcji odrębnie dla każdego produktu. Aktualna treść §3 jest na tyle ogólna i nieprecyzyjna, że na jej podstawie wykonawcy nie są w stanie określić faktycznej wielkości przedmiotu zamówienia w zakresie poszczególnych pozycji asortymentowych a w konsekwencji nie są również w stanie dokonać prawidłowej kalkulacji cen na potrzeby składanej oferty.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 W wyroku z dnia 17 listopada 2023 roku (sygn. akt: KIO 3212/23) KIO uwzględniła odwołanie wniesione przez wykonawcę Urtica Sp. z o.o. z siedzibą we Wrocławiu w postępowaniu prowadzonym przez Szpital Specjalistyczny im. E. Biernackiego w Mielcu na dostawy produktów leczniczych oraz wyrobów medycznych, dotyczące analogicznych zapisów umownych, uznając za uzasadnione zarzuty naruszenia art. 99 ust. 1, art. 433 </w:t>
            </w:r>
            <w:proofErr w:type="spellStart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pkt</w:t>
            </w:r>
            <w:proofErr w:type="spellEnd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 4, art. oraz 441 ust. 1 ustawy z dnia 11 września 2019 r. Prawo Zamówień Publicznych (Dz. U. 2023 poz. 1605 ze zm.) i nakazała Zamawiającemu zmianę postanowienia wzoru umowy, dotyczącego opcji, poprzez zrozumiałe, precyzyjne i jednoznaczne określenie w zakresie każdego produktu leczniczego wymienionego SWZ liczby (ilości) produktu leczniczego, do której zamawiający może zwiększyć zakres zamówienia. W wyroku tym KIO stwierdziła, że Zamawiający ma bezwzględny obowiązek w sposób precyzyjny, zrozumiały oraz jednoznaczny wskazać w zakresie każdego zamawianego produktu, jego ilość, do której może zwiększyć zakres zamówienia w ramach prawa opcji, co wynika z art. 441 ust. 1 PZP.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 Izba uznała, że chociaż Zamawiający rzeczywiście dysponuje ograniczonymi możliwościami w zakresie precyzyjnego określenia zapotrzebowania na poszczególne produkty, a rodzaj i ilość towarów koniecznych do prawidłowego udzielania świadczeń zdrowotnych są uzależnione od różnych okoliczności, to ich zaistnienie nie ma wpływu na postanowienia umowne, wprowadzone przez Zamawiającego, które naruszają art. 99 ust. 1 PZP, art. 433 </w:t>
            </w:r>
            <w:proofErr w:type="spellStart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pkt</w:t>
            </w:r>
            <w:proofErr w:type="spellEnd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 4 PZP oraz art. 441 ust. 1 PZP. Izba potwierdziła również, że norma wynikająca z treści art. 441 ust. 1 PZP, która określa zasady korzystania z prawa opcji, nakazująca opisywać je w postaci zrozumiałych, precyzyjnych oraz jednoznacznych postanowień, a także spełniać wszystkie zawarte w nim przesłanki, ma charakter bezwzględnie obowiązujący. Izba zauważyła przy tym, że żadne inne przepisy PZP nie ograniczają, ani nie wyłączają zastosowania tej normy w przypadkach wystąpienia okoliczności mających wpływ na rodzaj i ilość towarów stanowiących zapotrzebowanie podmiotów udzielających świadczenia zdrowotne. Dlatego też, wszelkie okoliczności, które powodują, że Zamawiający nie jest w stanie przewidzieć, ile dokładnie poszczególnych produktów będzie potrzebował, nie mogą powodować, że opis przedmiotu zamówienia będzie niezgodny z bezwzględnie obowiązującą normą z art. 99 ust. 1 PZP.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 KIO doszła do wniosku, że sformułowanie "zakres zamówienia" należy rozumieć jako "pojedyncze świadczenie", nie zaś jako "ogólne świadczenie", obejmujące wszystkie produkty, które wykonawca zobowiązany jest sprzedać zamawiającemu w danej części (pakiecie) zamówienia. Izba wskazała także, że w przypadku zamówienia udzielanego w częściach, każda z części zamówienia stanowi odrębne zamówienie. KIO stwierdziła zatem, że treść art. 433 </w:t>
            </w:r>
            <w:proofErr w:type="spellStart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pkt</w:t>
            </w:r>
            <w:proofErr w:type="spellEnd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 4 PZP, nakazującą określenie minimalnej wartości lub wielkości świadczenia należy odnieść do każdej pojedynczej pozycji asortymentowej, czyli do każdego zamawianego produktu, stanowiącego świadczenie zgodnie z treścią art. 433 </w:t>
            </w:r>
            <w:proofErr w:type="spellStart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pkt</w:t>
            </w:r>
            <w:proofErr w:type="spellEnd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 4 PZP. Takie same wnioski dotyczą art. 441 ust. 1 PZP oraz wskazania w zakresie każdego zamawianego produktu, jego ilości, która może zostać zwiększona.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 Doniosłość wyżej wskazanego orzeczenia i zawartej w nim wykładni potwierdza fakt, że Prezes Urzędu Zamówień Publicznych postanowił wpisać je na listę klauzul </w:t>
            </w:r>
            <w:proofErr w:type="spellStart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abuzywnych</w:t>
            </w:r>
            <w:proofErr w:type="spellEnd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 prowadzoną na podstawie art. art. 469 </w:t>
            </w:r>
            <w:proofErr w:type="spellStart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pkt</w:t>
            </w:r>
            <w:proofErr w:type="spellEnd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 8) </w:t>
            </w:r>
            <w:proofErr w:type="spellStart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pzp</w:t>
            </w:r>
            <w:proofErr w:type="spellEnd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 prowadzoną pod adresem https://www.gov.pl/web/uzp/wyroki-kio-w-ktorych-izba-stwierdzila-naruszenie-art-433-pzp.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Biorąc pod uwagę powyższe, Zamawiający decydując się na zaniechanie sprecyzowania zastrzeżonego w §3 prawa opcji naraża je na unieważnienie na podstawie art. 441 ust. 2 PZP, tym samym świadomie ryzykując </w:t>
            </w: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lastRenderedPageBreak/>
              <w:t>ewentualnością doprowadzenia do sporu sądowego na tle stosowania przedmiotowej klauzuli w trakcie próby jej wprowadzenia w życie.</w:t>
            </w: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WYJAŚNIENIA (STANOWISKO) ZAMAWIAJĄCEGO </w:t>
            </w: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>Zakres opcji został opisany dla każdej pozycji zamówienia w Formularzu cenowym (Załącznik nr 2 do SWZ), który będzie Załącznikiem nr 1 do umowy, stanowiącym jej integralną część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2.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Do §7 ust. 1 </w:t>
            </w:r>
            <w:proofErr w:type="spellStart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pkt</w:t>
            </w:r>
            <w:proofErr w:type="spellEnd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 5) wzoru umowy: prosimy o obniżenie wymiaru kary umownej zastrzeżonej w §7 ust. 1 </w:t>
            </w:r>
            <w:proofErr w:type="spellStart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pkt</w:t>
            </w:r>
            <w:proofErr w:type="spellEnd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 5) wzoru umowy do wysokości 250 zł.</w:t>
            </w: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WYJAŚNIENIA (STANOWISKO) ZAMAWIAJĄCEGO 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>Zamawiający wyraża zgodę. Zamawiający zamieszcza zaktualizowany projekt umowy (Załącznik nr 8 do SWZ</w:t>
            </w: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).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3.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Do §9 ust. 5 lit. a) wzoru umowy: Biorąc pod uwagę argumentację przedstawioną w pytaniu nr 1 prosimy o określenie granicznych ilości przesunięć dla każdego przedmiotu umowy (np. +/- 20%).</w:t>
            </w: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WYJAŚNIENIA (STANOWISKO) ZAMAWIAJĄCEGO </w:t>
            </w: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>Zamawiający pozostawia zapisy projektu umowy bez zmian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4.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Do §9 ust. 5 lit. d) wzoru umowy: Czy Zamawiający wyrazi zgodę na dostawę równoważników również w innych niż wymienione przypadkach czasowej niedostępności przedmiotu umowy na rynku?</w:t>
            </w: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WYJAŚNIENIA (STANOWISKO) ZAMAWIAJĄCEGO </w:t>
            </w: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Zamawiający dopuszcza powyższe pod warunkiem zachowania pozostałych zapisów SWZ, </w:t>
            </w:r>
            <w:r w:rsidR="00B17F45"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 </w:t>
            </w: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>w szczególności związanych z możliwością prawidłowego rozliczenia leku z płatnikiem (NFZ).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5.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Do §10 ust. 1 oraz ust. 2 wzoru umowy: Prosimy o zmianę treści §10 ust. 1 wzoru umowy poprzez modyfikację postanowienia ustanawiającego, że poziom zmiany ceny materiałów lub kosztów związanych z realizacją zamówienia uprawniający Strony Umowy do żądania zmiany wynagrodzenia ustala się, na co najmniej 10% w stosunku do poziomu cen tych samych materiałów lub kosztów z dnia zawarcia umowy oraz zastąpienie go postanowieniem przewidującym, że waloryzacja cen będzie możliwa po 6 miesiącach realizacji umowy jeśli kwartalny wskaźnik zmian cen i kosztów, obliczony zgodnie ze wskaźnikiem GUS (dla towarów i usług konsumpcyjnych) przekroczy 3,6%, albowiem ww. postanowienie narusza zasadę ekwiwalentności świadczeń stron oraz postulat równomiernego rozłożenia ryzyka kontraktowego.</w:t>
            </w: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WYJAŚNIENIA (STANOWISKO) ZAMAWIAJĄCEGO </w:t>
            </w: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Zamawiający pozostawia zapisy §10 ust. 1 bez zmian. </w:t>
            </w:r>
          </w:p>
          <w:p w:rsidR="00903AE8" w:rsidRPr="00737DCF" w:rsidRDefault="00903AE8" w:rsidP="00737DCF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737DCF">
              <w:rPr>
                <w:rFonts w:ascii="Arial Narrow" w:hAnsi="Arial Narrow" w:cs="Arial"/>
                <w:b/>
                <w:bCs/>
                <w:sz w:val="22"/>
                <w:szCs w:val="24"/>
              </w:rPr>
              <w:t>§10 ust. 2 otrzymuje brzmienie: "W przypadku zaistnienia przesłanki będącej podstawą zmiany wynagrodzenia, Wykonawca może zwrócić się w formie pisemnej do Zamawiającego o zmianę wynagrodzenia nie wcześniej niż po upływie 6 miesięcy licząc od dnia zawarcia umowy, przy czym zmiana wynagrodzenia nie może być dokonywana częściej, niż co dwanaście miesięcy." Zamawiający zamieszcza zaktualizowany projekt umowy (Załącznik nr 8 do SWZ) pn Projekt umowy AKTUALNY 13-11-2024.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lastRenderedPageBreak/>
              <w:t>6.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Do §10 ust. 4 wzoru umowy: Prosimy o rezygnację z opisanego w §10 ust. 4 wzoru umowy sposobu ustalania zmiany wynagrodzenia w oparciu o przedstawione przez Wykonawcę kalkulacje i dowody oraz zastąpienie go automatyczną indeksacją wynagrodzenia Wykonawcy opartą o konkretną obiektywną wartości, taką jak skumulowane miesięczne wskaźniki cen towarów i usług konsumpcyjnych ogłaszane przez Prezesa GUS (potocznie inflacja) z 6 miesięcy poprzedzających moment dokonania waloryzacji (tabela: Miesięczne wskaźniki cen towarów i usług konsumpcyjnych od 1982 roku, Poprzedni miesiąc = 100). Wyjaśniamy, że "podstawą do obliczenia zmiany wynagrodzenia powinien być sam fakt zmiany wybranego wskaźnika albo zmiany cen wybranych przez zamawiającego rodzajów materiałów lub kosztów ponad przyjęty poziom. Skorzystanie przez strony umowy z wybranej metody indeksacji nie wymaga przeprowadzenia przez wykonawcę dodatkowych dowodów i wyjaśnień, przedkładania ofert dostawców lub podwykonawców potwierdzających bezpośredni lub pośredni wpływ na koszty ponoszone przez wykonawcę w związku z realizacją robót budowlanych lub usług w przypadku wzrostu lub zmniejszenia wielkości wskaźnika lub zmiany cen wybranych przez zamawiającego rodzajów materiałów lub kosztów" (tak: E. Wiktorowska [w:] A. Gawrońska-Baran, A. Wiktorowski, P. Wójcik, E. Wiktorowska, Prawo zamówień publicznych. Komentarz aktualizowany, LEX/</w:t>
            </w:r>
            <w:proofErr w:type="spellStart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el</w:t>
            </w:r>
            <w:proofErr w:type="spellEnd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. 2023, art. 439).</w:t>
            </w: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WYJAŚNIENIA (STANOWISKO) ZAMAWIAJĄCEGO </w:t>
            </w: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>Zamawiający pozostawia zapisy projektu umowy bez zmian</w:t>
            </w:r>
          </w:p>
          <w:p w:rsidR="00B17F45" w:rsidRDefault="00B17F45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3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Dotyczy § 2 wzoru umowy 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Czy Zamawiający wyrazi zgodę na dodanie zapisu: "Zamówienia będą składane do godziny 13:00. Zamówienia złożone po godzinie 13:00 należy traktować jako złożone w kolejnym dniu roboczym"?</w:t>
            </w: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WYJAŚNIENIA (STANOWISKO) ZAMAWIAJĄCEGO </w:t>
            </w: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>Zamawiający pozostawia zapisy projektu umowy bez zmian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Dotyczy § 6 ust. 5 wzoru umowy 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Czy Zamawiający wydłuży termin do rozpatrzenia reklamacji przez Wykonawcę do 7 dni roboczych? Zgłoszona reklamacja wymaga rozpatrzenia z uwzględnieniem np. wyjaśnień firmy kurierskiej dostarczającej leki, bądź zbadania jakościowo wadliwego towaru, a następnie (przy uwzględnieniu reklamacji) dostarczenia towaru. Wykonanie tego w krótszym czasie jest niemożliwe.</w:t>
            </w: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WYJAŚNIENIA (STANOWISKO) ZAMAWIAJĄCEGO </w:t>
            </w: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>Zamawiający dopuszcza. Zaktualizowany projekt umowy zostaje umieszczony na stronie prowadzonego postępowania pn. Projekt umowy AKTUALNY 13-11-2024</w:t>
            </w:r>
          </w:p>
          <w:p w:rsidR="00B17F45" w:rsidRDefault="00B17F45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4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Dotyczy Zadania 11 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Czy Zamawiający dopuści możliwość zaoferowania </w:t>
            </w:r>
            <w:proofErr w:type="spellStart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doxorubicyny</w:t>
            </w:r>
            <w:proofErr w:type="spellEnd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 </w:t>
            </w:r>
            <w:proofErr w:type="spellStart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liposomalnej</w:t>
            </w:r>
            <w:proofErr w:type="spellEnd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 </w:t>
            </w:r>
            <w:proofErr w:type="spellStart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pegylowanej</w:t>
            </w:r>
            <w:proofErr w:type="spellEnd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 w dwóch dostępnych na rynku dawkach, tj.: 20mg/10ml oraz 50mg/25ml? Obydwie dawki są zawarte w obwieszczeniu Ministra Zdrowia (z nową objętością 50mg/25ml od dnia z dnia 17.06.2024 oraz refundacją od dnia 01.07.2024). Umożliwienie równoległego dostarczania obydwu dawek wpłynie pozytywnie na możliwość przygotowywania dokładniejszej </w:t>
            </w: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lastRenderedPageBreak/>
              <w:t>ilości zaadministrowanej substancji oraz na mniejsze ilości pozostałej i niezużytej substancji czynnej, która nie podlega refundacji. Zamawiający, jako podmiot świadczący pomoc medyczną finansowaną ze środków publicznych, zobowiązany jest do racjonalnego z punktu widzenia terapeutycznego i funkcjonalnego wyboru przedmiotu zamówienia, a także zgodnego z prawem (w tym stosownych ustaw) gospodarowania powierzonymi mu środkami publicznymi. Proponowane rozwiązanie wpłynie na obniżenie kosztów Szpitala związanych z podawaniem powyższego leku. Wnosimy tym samym o możliwość dokonania wyceny asortymentu z przeliczeniem ceny jednostkowej netto za 1mg oferowanego produktu. W przypadku wyrażenia zgody na powyższe, zwracamy się z prośbą o podanie w jaki sposób dokonać przeliczeń oferowanych ilości oraz ceny jednostkowej w formularzu cenowym.</w:t>
            </w: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WYJAŚNIENIA (STANOWISKO) ZAMAWIAJĄCEGO </w:t>
            </w: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Zamawiający dopuszcza możliwość zaoferowania preparatu w dwóch dostępnych dawkach 20mg/10ml oraz 50mg/25ml pod warunkiem zaoferowania łącznej ilości wyrażonej w miligramach </w:t>
            </w:r>
            <w:proofErr w:type="spellStart"/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>tj</w:t>
            </w:r>
            <w:proofErr w:type="spellEnd"/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: 600 mg w przeliczeniu na 1 </w:t>
            </w:r>
            <w:proofErr w:type="spellStart"/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>mg</w:t>
            </w:r>
            <w:proofErr w:type="spellEnd"/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>. Zamawiający zaznacza, że będzie realizował zamówienia zgodnie ze swoimi potrzebami.</w:t>
            </w:r>
          </w:p>
          <w:p w:rsidR="00B17F45" w:rsidRDefault="00B17F45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5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1. Dotyczy zapisów umowy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Proszę o potwierdzenie, iż w razie wystąpienia takich okoliczności jak wstrzymanie lub wycofanie produktu leczniczego z obrotu decyzją Głównego Inspektora Farmaceutycznego oraz zaprzestanie produkcji, skutkujących uniemożliwieniem realizacji umowy przez Wykonawcę, przy jednoczesnym udokumentowanym braku możliwości dostarczenia przez Wykonawcę towaru równoważnego/ odpowiednika, nastąpi rozwiązanie umowy za porozumieniem stron (bez naliczenia kar umownych) w zakresie w/w produktu z uwagi na niemożność spełnienia świadczenia zgodnie z przepisami KC? 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Zaoferowanie produktu zamiennego jest możliwe tylko w sytuacji posiadania przez wykonawcę produktu leczniczego zamiennego danego producenta, do którego obrotu jest upoważniony na podstawie koncesji, jako hurtownia farmaceutyczna. Niemożliwy i niezgodny z obowiązującymi przepisami prawa jest obrót produktami leczniczymi, na które wykonawca nie posiada koncesji.</w:t>
            </w: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WYJAŚNIENIA (STANOWISKO) ZAMAWIAJĄCEGO </w:t>
            </w: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>Zamawiający pozostawia zapisy projektu umowy bez zmian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2. Dotyczy § 2 ust. 2 wzoru umowy - termin realizacji dostaw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Czy z uwagi na fakt, że zaoferowane produkty nie są lekami na tzw. "ratunek" i nie wymagają dostaw w ciągu 24 godzin (1 dnia roboczego) od momentu złożenia zamówienia, ze względu na specyfikę i konieczność planowania podania z wyprzedzeniem, Zamawiający wydłuży termin dostawy do 48 godzin dla zadania nr 3?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Obecny zapis wprowadza nieproporcjonalne ograniczenie w stosunku do obiektywnych potrzeb Zamawiającego.</w:t>
            </w: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WYJAŚNIENIA (STANOWISKO) ZAMAWIAJĄCEGO </w:t>
            </w: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>Zamawiający dopuszcza. Zaktualizowany projekt umowy zostaje umieszczony na stronie prowadzonego postępowania pn. Projekt umowy AKTUALNY 13-11-2024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3. Dotyczy § 2 ust. 8 i 10 wzoru umowy - warunki transportu, odczyt temperatury w chwili odbioru leków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lastRenderedPageBreak/>
              <w:t>W związku z obowiązkiem wykonawcy dostarczenia produktu leczniczego zgodnie z wymaganiami prawidłowego transportu produktu leczniczego również w zakresie zachowania odpowiedniej temperatury w trakcie transportu, czy Zamawiający dopuści możliwość potwierdzenia spełnienia warunków temperaturowych w trakcie transportu w stosunku do produktów wymienionych w zadaniu 3 poprzez przesłanie dokumentów w możliwie szybkim terminie (bez zbędnej zwłoki) po dokonaniu dostawy?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Wymóg dołączenia wydruku temperatur transportowych produktów leczniczych wraz z dostawą jest niemożliwy do spełnienia dla wykonawcy z uwagi na posiadany system dostaw. Obecny wymóg stawia na wykonawcę konieczność zastosowania odrębnego systemu i zakupu specjalistycznego oprogramowania i sprzętu co wiąże się z dodatkowymi nadmiernymi kosztami, które następnie będą musiały zostać uwzględnione w cenie całkowitej oferty.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Ponadto rozporządzenie Ministra Zdrowia z dnia 13 marca 2015 w sprawie wymagań Dobrej Praktyki Dystrybucyjnej (Dz. U. z 2017, poz. 509) nie nakłada na wykonawcę obowiązku dostarczenia dokumentacji potwierdzającej warunki transportu razem z dostawą. Zgodnie z zapisem </w:t>
            </w:r>
            <w:proofErr w:type="spellStart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pkt</w:t>
            </w:r>
            <w:proofErr w:type="spellEnd"/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 xml:space="preserve"> 9.4 w/w Rozporządzenia, dokumentacja potwierdzająca zachowanie prawidłowej temperatury przechowywania produktów leczniczych podczas transportu udostępniana jest na żądanie odbiorcy.</w:t>
            </w:r>
          </w:p>
          <w:p w:rsidR="00903AE8" w:rsidRPr="00903AE8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3AE8">
              <w:rPr>
                <w:rFonts w:ascii="Arial Narrow" w:hAnsi="Arial Narrow" w:cs="Arial"/>
                <w:bCs/>
                <w:sz w:val="22"/>
                <w:szCs w:val="24"/>
              </w:rPr>
              <w:t>Podkreślenia wymaga, że potwierdzenie "zimnego łańcucha" możliwe jest również w późniejszym terminie bez uszczerbku dla Zamawiającego.</w:t>
            </w:r>
          </w:p>
          <w:p w:rsidR="00903AE8" w:rsidRPr="00B17F45" w:rsidRDefault="00903AE8" w:rsidP="00903AE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WYJAŚNIENIA (STANOWISKO) ZAMAWIAJĄCEGO </w:t>
            </w:r>
          </w:p>
          <w:p w:rsidR="00071DF6" w:rsidRDefault="00903AE8" w:rsidP="00903AE8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17F45">
              <w:rPr>
                <w:rFonts w:ascii="Arial Narrow" w:hAnsi="Arial Narrow" w:cs="Arial"/>
                <w:b/>
                <w:bCs/>
                <w:sz w:val="22"/>
                <w:szCs w:val="24"/>
              </w:rPr>
              <w:t>Zamawiający dopuszcza. Zaktualizowany projekt umowy zostaje umieszczony na stronie prowadzonego postępowania pn. Projekt umowy AKTUALNY 13-11-2024</w:t>
            </w:r>
          </w:p>
          <w:p w:rsidR="00B17F45" w:rsidRPr="00903AE8" w:rsidRDefault="00B17F45" w:rsidP="00903AE8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</w:p>
        </w:tc>
      </w:tr>
    </w:tbl>
    <w:p w:rsidR="00BE7BFD" w:rsidRPr="00903AE8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Default="00B17F4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B17F45">
        <w:rPr>
          <w:rFonts w:ascii="Arial Narrow" w:hAnsi="Arial Narrow" w:cs="Arial"/>
          <w:i/>
          <w:sz w:val="22"/>
          <w:szCs w:val="24"/>
        </w:rPr>
        <w:t>ZAMAWIAJĄCY</w:t>
      </w:r>
    </w:p>
    <w:p w:rsidR="00B17F45" w:rsidRDefault="00B17F4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B17F45" w:rsidRDefault="00B17F45" w:rsidP="00B17F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bookmarkStart w:id="0" w:name="_Hlk163630417"/>
    </w:p>
    <w:p w:rsidR="00B17F45" w:rsidRDefault="00B17F45" w:rsidP="00B17F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17F45" w:rsidRDefault="00B17F45" w:rsidP="00B17F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17F45" w:rsidRDefault="00B17F45" w:rsidP="00B17F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17F45" w:rsidRDefault="00B17F45" w:rsidP="00B17F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17F45" w:rsidRDefault="00B17F45" w:rsidP="00B17F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17F45" w:rsidRDefault="00B17F45" w:rsidP="00B17F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17F45" w:rsidRDefault="00B17F45" w:rsidP="00B17F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17F45" w:rsidRDefault="00B17F45" w:rsidP="00B17F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17F45" w:rsidRDefault="00B17F45" w:rsidP="00B17F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17F45" w:rsidRDefault="00B17F45" w:rsidP="00B17F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17F45" w:rsidRDefault="00B17F45" w:rsidP="00B17F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17F45" w:rsidRDefault="00B17F45" w:rsidP="00B17F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17F45" w:rsidRDefault="00B17F45" w:rsidP="00B17F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17F45" w:rsidRDefault="00B17F45" w:rsidP="00B17F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17F45" w:rsidRDefault="00B17F45" w:rsidP="00B17F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17F45" w:rsidRDefault="00B17F45" w:rsidP="00B17F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17F45" w:rsidRPr="00B17F45" w:rsidRDefault="00B17F45" w:rsidP="00B17F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B17F45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3  ark.</w:t>
      </w:r>
    </w:p>
    <w:p w:rsidR="00B17F45" w:rsidRPr="00B17F45" w:rsidRDefault="00B17F45" w:rsidP="00B17F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b/>
          <w:szCs w:val="20"/>
        </w:rPr>
      </w:pPr>
      <w:r w:rsidRPr="00B17F45">
        <w:rPr>
          <w:rFonts w:ascii="Arial Narrow" w:hAnsi="Arial Narrow"/>
          <w:b/>
          <w:i/>
          <w:iCs/>
          <w:sz w:val="18"/>
          <w:szCs w:val="20"/>
        </w:rPr>
        <w:t xml:space="preserve">Egz. 1 – a/a kancelaria  </w:t>
      </w:r>
    </w:p>
    <w:p w:rsidR="00B17F45" w:rsidRPr="00B17F45" w:rsidRDefault="00B17F45" w:rsidP="00B17F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i/>
          <w:iCs/>
          <w:sz w:val="22"/>
          <w:szCs w:val="22"/>
        </w:rPr>
      </w:pPr>
      <w:r w:rsidRPr="00B17F45">
        <w:rPr>
          <w:rFonts w:ascii="Arial Narrow" w:hAnsi="Arial Narrow"/>
          <w:i/>
          <w:iCs/>
          <w:sz w:val="18"/>
          <w:szCs w:val="20"/>
        </w:rPr>
        <w:t xml:space="preserve">Egz. 2 – </w:t>
      </w:r>
      <w:r w:rsidRPr="00B17F45">
        <w:rPr>
          <w:rFonts w:ascii="Arial Narrow" w:hAnsi="Arial Narrow" w:cs="Andalus"/>
          <w:i/>
          <w:iCs/>
          <w:sz w:val="18"/>
          <w:szCs w:val="22"/>
        </w:rPr>
        <w:t xml:space="preserve">adresat (platforma e-propublico.pl), </w:t>
      </w:r>
      <w:proofErr w:type="spellStart"/>
      <w:r w:rsidRPr="00B17F45">
        <w:rPr>
          <w:rFonts w:ascii="Arial Narrow" w:hAnsi="Arial Narrow" w:cs="Andalus"/>
          <w:i/>
          <w:iCs/>
          <w:sz w:val="18"/>
          <w:szCs w:val="22"/>
        </w:rPr>
        <w:t>SZPubl</w:t>
      </w:r>
      <w:proofErr w:type="spellEnd"/>
      <w:r w:rsidRPr="00B17F45">
        <w:rPr>
          <w:rFonts w:ascii="Arial Narrow" w:hAnsi="Arial Narrow" w:cs="Andalus"/>
          <w:i/>
          <w:iCs/>
          <w:sz w:val="18"/>
          <w:szCs w:val="22"/>
        </w:rPr>
        <w:t>. T2612 B5</w:t>
      </w:r>
    </w:p>
    <w:p w:rsidR="00B17F45" w:rsidRPr="00B17F45" w:rsidRDefault="00B17F45" w:rsidP="00B17F45">
      <w:pPr>
        <w:pStyle w:val="NormalnyWeb"/>
        <w:shd w:val="clear" w:color="auto" w:fill="FFFFFF"/>
        <w:spacing w:before="0" w:beforeAutospacing="0" w:after="0" w:afterAutospacing="0"/>
        <w:textAlignment w:val="baseline"/>
      </w:pPr>
      <w:r w:rsidRPr="00B17F45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B17F45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B17F45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7" w:history="1">
        <w:r w:rsidRPr="00B17F45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</w:p>
    <w:p w:rsidR="00B17F45" w:rsidRPr="00B17F45" w:rsidRDefault="00B17F45" w:rsidP="00B17F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  <w:r w:rsidRPr="00B17F45">
        <w:rPr>
          <w:rFonts w:ascii="Arial Narrow" w:hAnsi="Arial Narrow"/>
          <w:i/>
          <w:iCs/>
          <w:sz w:val="18"/>
          <w:szCs w:val="20"/>
        </w:rPr>
        <w:t>Data:</w:t>
      </w:r>
      <w:bookmarkEnd w:id="0"/>
      <w:r w:rsidRPr="00B17F45">
        <w:rPr>
          <w:rFonts w:ascii="Arial Narrow" w:hAnsi="Arial Narrow"/>
          <w:i/>
          <w:iCs/>
          <w:sz w:val="18"/>
          <w:szCs w:val="20"/>
        </w:rPr>
        <w:t>13.11.2024 r.</w:t>
      </w:r>
    </w:p>
    <w:sectPr w:rsidR="00B17F45" w:rsidRPr="00B17F45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100A" w:rsidRDefault="0081100A">
      <w:r>
        <w:separator/>
      </w:r>
    </w:p>
  </w:endnote>
  <w:endnote w:type="continuationSeparator" w:id="1">
    <w:p w:rsidR="0081100A" w:rsidRDefault="008110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226F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226F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226F5" w:rsidRPr="00B862CC">
      <w:rPr>
        <w:rFonts w:ascii="Arial" w:hAnsi="Arial"/>
        <w:sz w:val="18"/>
        <w:szCs w:val="24"/>
      </w:rPr>
      <w:fldChar w:fldCharType="separate"/>
    </w:r>
    <w:r w:rsidR="001728ED">
      <w:rPr>
        <w:rFonts w:ascii="Arial" w:hAnsi="Arial"/>
        <w:noProof/>
        <w:sz w:val="18"/>
        <w:szCs w:val="24"/>
      </w:rPr>
      <w:t>1</w:t>
    </w:r>
    <w:r w:rsidR="002226F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226F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226F5" w:rsidRPr="00B862CC">
      <w:rPr>
        <w:rFonts w:ascii="Arial" w:hAnsi="Arial"/>
        <w:sz w:val="18"/>
        <w:szCs w:val="24"/>
      </w:rPr>
      <w:fldChar w:fldCharType="separate"/>
    </w:r>
    <w:r w:rsidR="001728ED">
      <w:rPr>
        <w:rFonts w:ascii="Arial" w:hAnsi="Arial"/>
        <w:noProof/>
        <w:sz w:val="18"/>
        <w:szCs w:val="24"/>
      </w:rPr>
      <w:t>6</w:t>
    </w:r>
    <w:r w:rsidR="002226F5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226F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17F45">
        <w:rPr>
          <w:rStyle w:val="Numerstrony"/>
          <w:noProof/>
        </w:rPr>
        <w:t>6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100A" w:rsidRDefault="0081100A">
      <w:r>
        <w:separator/>
      </w:r>
    </w:p>
  </w:footnote>
  <w:footnote w:type="continuationSeparator" w:id="1">
    <w:p w:rsidR="0081100A" w:rsidRDefault="008110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DF6" w:rsidRDefault="00071D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DF6" w:rsidRDefault="00071D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DF6" w:rsidRDefault="00071D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1DF6"/>
    <w:rsid w:val="00031374"/>
    <w:rsid w:val="00035DEC"/>
    <w:rsid w:val="00071DF6"/>
    <w:rsid w:val="000A1097"/>
    <w:rsid w:val="000E2A8F"/>
    <w:rsid w:val="0012774F"/>
    <w:rsid w:val="00144B7A"/>
    <w:rsid w:val="001728ED"/>
    <w:rsid w:val="00180C6E"/>
    <w:rsid w:val="002226F5"/>
    <w:rsid w:val="0029606A"/>
    <w:rsid w:val="004848F3"/>
    <w:rsid w:val="004A75F2"/>
    <w:rsid w:val="005144A9"/>
    <w:rsid w:val="00520165"/>
    <w:rsid w:val="00564E16"/>
    <w:rsid w:val="005B1B08"/>
    <w:rsid w:val="00632C3C"/>
    <w:rsid w:val="00662BDB"/>
    <w:rsid w:val="006A5DF1"/>
    <w:rsid w:val="006B7198"/>
    <w:rsid w:val="006D4AB3"/>
    <w:rsid w:val="006F3B81"/>
    <w:rsid w:val="00737DCF"/>
    <w:rsid w:val="007D7198"/>
    <w:rsid w:val="0081100A"/>
    <w:rsid w:val="00870F9F"/>
    <w:rsid w:val="008804B6"/>
    <w:rsid w:val="00897AB0"/>
    <w:rsid w:val="008A3553"/>
    <w:rsid w:val="009003D1"/>
    <w:rsid w:val="00903AE8"/>
    <w:rsid w:val="00947A50"/>
    <w:rsid w:val="00A905AC"/>
    <w:rsid w:val="00B1255C"/>
    <w:rsid w:val="00B17F45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64E16"/>
  </w:style>
  <w:style w:type="paragraph" w:styleId="Nagwek1">
    <w:name w:val="heading 1"/>
    <w:basedOn w:val="Normalny"/>
    <w:next w:val="Normalny"/>
    <w:qFormat/>
    <w:rsid w:val="00564E1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64E1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64E1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64E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4E16"/>
  </w:style>
  <w:style w:type="paragraph" w:styleId="Tekstpodstawowywcity">
    <w:name w:val="Body Text Indent"/>
    <w:basedOn w:val="Normalny"/>
    <w:rsid w:val="00564E1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64E1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64E1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64E16"/>
    <w:rPr>
      <w:sz w:val="28"/>
    </w:rPr>
  </w:style>
  <w:style w:type="paragraph" w:styleId="Tekstpodstawowywcity3">
    <w:name w:val="Body Text Indent 3"/>
    <w:basedOn w:val="Normalny"/>
    <w:rsid w:val="00564E1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17F45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B17F4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17F4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2123</Words>
  <Characters>14129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2024-11-13T11:35:00Z</cp:lastPrinted>
  <dcterms:created xsi:type="dcterms:W3CDTF">2024-11-13T11:53:00Z</dcterms:created>
  <dcterms:modified xsi:type="dcterms:W3CDTF">2024-11-13T11:53:00Z</dcterms:modified>
</cp:coreProperties>
</file>