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3A88" w:rsidRPr="00AD45A9" w:rsidRDefault="00EF54DF" w:rsidP="003639F4">
      <w:pPr>
        <w:spacing w:after="480"/>
        <w:jc w:val="right"/>
        <w:rPr>
          <w:rFonts w:ascii="Arial" w:hAnsi="Arial" w:cs="Arial"/>
          <w:sz w:val="24"/>
          <w:szCs w:val="24"/>
        </w:rPr>
      </w:pPr>
      <w:r w:rsidRPr="00EF54DF">
        <w:rPr>
          <w:rFonts w:ascii="Arial" w:hAnsi="Arial" w:cs="Arial"/>
          <w:sz w:val="24"/>
          <w:szCs w:val="24"/>
        </w:rPr>
        <w:t>KRAKÓW</w:t>
      </w:r>
      <w:r w:rsidR="00843A88" w:rsidRPr="00AD45A9">
        <w:rPr>
          <w:rFonts w:ascii="Arial" w:hAnsi="Arial" w:cs="Arial"/>
          <w:sz w:val="24"/>
          <w:szCs w:val="24"/>
        </w:rPr>
        <w:t xml:space="preserve"> dnia: </w:t>
      </w:r>
      <w:r w:rsidRPr="00EF54DF">
        <w:rPr>
          <w:rFonts w:ascii="Arial" w:hAnsi="Arial" w:cs="Arial"/>
          <w:sz w:val="24"/>
          <w:szCs w:val="24"/>
        </w:rPr>
        <w:t>2024-11-20</w:t>
      </w:r>
    </w:p>
    <w:p w:rsidR="00843A88" w:rsidRPr="00AD45A9" w:rsidRDefault="00EF54DF" w:rsidP="003639F4">
      <w:pPr>
        <w:rPr>
          <w:rFonts w:ascii="Arial" w:hAnsi="Arial" w:cs="Arial"/>
          <w:b/>
          <w:bCs/>
          <w:sz w:val="24"/>
          <w:szCs w:val="24"/>
        </w:rPr>
      </w:pPr>
      <w:r w:rsidRPr="00EF54DF">
        <w:rPr>
          <w:rFonts w:ascii="Arial" w:hAnsi="Arial" w:cs="Arial"/>
          <w:b/>
          <w:bCs/>
          <w:sz w:val="24"/>
          <w:szCs w:val="24"/>
        </w:rPr>
        <w:t>Politechnika Krakowska im. Tadeusza Kościuszki</w:t>
      </w:r>
    </w:p>
    <w:p w:rsidR="00843A88" w:rsidRPr="00AD45A9" w:rsidRDefault="00EF54DF" w:rsidP="003639F4">
      <w:pPr>
        <w:rPr>
          <w:rFonts w:ascii="Arial" w:hAnsi="Arial" w:cs="Arial"/>
          <w:sz w:val="24"/>
          <w:szCs w:val="24"/>
        </w:rPr>
      </w:pPr>
      <w:r w:rsidRPr="00EF54DF">
        <w:rPr>
          <w:rFonts w:ascii="Arial" w:hAnsi="Arial" w:cs="Arial"/>
          <w:sz w:val="24"/>
          <w:szCs w:val="24"/>
        </w:rPr>
        <w:t>ul. Warszawska 24</w:t>
      </w:r>
      <w:r w:rsidR="00843A88" w:rsidRPr="00AD45A9">
        <w:rPr>
          <w:rFonts w:ascii="Arial" w:hAnsi="Arial" w:cs="Arial"/>
          <w:sz w:val="24"/>
          <w:szCs w:val="24"/>
        </w:rPr>
        <w:t xml:space="preserve"> </w:t>
      </w:r>
      <w:r w:rsidRPr="00EF54DF">
        <w:rPr>
          <w:rFonts w:ascii="Arial" w:hAnsi="Arial" w:cs="Arial"/>
          <w:sz w:val="24"/>
          <w:szCs w:val="24"/>
        </w:rPr>
        <w:t>W-9/110,</w:t>
      </w:r>
    </w:p>
    <w:p w:rsidR="00843A88" w:rsidRPr="00AD45A9" w:rsidRDefault="00EF54DF" w:rsidP="003639F4">
      <w:pPr>
        <w:rPr>
          <w:rFonts w:ascii="Arial" w:hAnsi="Arial" w:cs="Arial"/>
          <w:sz w:val="24"/>
          <w:szCs w:val="24"/>
        </w:rPr>
      </w:pPr>
      <w:r w:rsidRPr="00EF54DF">
        <w:rPr>
          <w:rFonts w:ascii="Arial" w:hAnsi="Arial" w:cs="Arial"/>
          <w:sz w:val="24"/>
          <w:szCs w:val="24"/>
        </w:rPr>
        <w:t>31-155</w:t>
      </w:r>
      <w:r w:rsidR="00843A88" w:rsidRPr="00AD45A9">
        <w:rPr>
          <w:rFonts w:ascii="Arial" w:hAnsi="Arial" w:cs="Arial"/>
          <w:sz w:val="24"/>
          <w:szCs w:val="24"/>
        </w:rPr>
        <w:t xml:space="preserve"> </w:t>
      </w:r>
      <w:r w:rsidRPr="00EF54DF">
        <w:rPr>
          <w:rFonts w:ascii="Arial" w:hAnsi="Arial" w:cs="Arial"/>
          <w:sz w:val="24"/>
          <w:szCs w:val="24"/>
        </w:rPr>
        <w:t>KRAKÓW</w:t>
      </w:r>
    </w:p>
    <w:p w:rsidR="003639F4" w:rsidRDefault="003639F4" w:rsidP="003639F4">
      <w:pPr>
        <w:spacing w:after="120"/>
        <w:jc w:val="both"/>
        <w:rPr>
          <w:rFonts w:ascii="Arial" w:eastAsia="Calibri" w:hAnsi="Arial" w:cs="Arial"/>
          <w:sz w:val="24"/>
          <w:szCs w:val="24"/>
          <w:lang w:eastAsia="en-US"/>
        </w:rPr>
      </w:pPr>
    </w:p>
    <w:p w:rsidR="004E4B64" w:rsidRPr="004E4B64" w:rsidRDefault="004E4B64" w:rsidP="003639F4">
      <w:pPr>
        <w:spacing w:after="120"/>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rsidTr="00FD4AEC">
        <w:tc>
          <w:tcPr>
            <w:tcW w:w="2269" w:type="dxa"/>
            <w:shd w:val="clear" w:color="auto" w:fill="auto"/>
          </w:tcPr>
          <w:p w:rsidR="004E4B64" w:rsidRPr="004E4B64" w:rsidRDefault="004E4B64" w:rsidP="003639F4">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rsidR="004E4B64" w:rsidRPr="004E4B64" w:rsidRDefault="00EF54DF" w:rsidP="003639F4">
            <w:pPr>
              <w:tabs>
                <w:tab w:val="center" w:pos="4536"/>
                <w:tab w:val="right" w:pos="9072"/>
              </w:tabs>
              <w:jc w:val="both"/>
              <w:rPr>
                <w:rFonts w:ascii="Arial" w:hAnsi="Arial" w:cs="Arial"/>
                <w:bCs/>
                <w:sz w:val="24"/>
                <w:szCs w:val="24"/>
              </w:rPr>
            </w:pPr>
            <w:r w:rsidRPr="00EF54DF">
              <w:rPr>
                <w:rFonts w:ascii="Arial" w:hAnsi="Arial" w:cs="Arial"/>
                <w:bCs/>
                <w:sz w:val="24"/>
                <w:szCs w:val="24"/>
              </w:rPr>
              <w:t xml:space="preserve">Przebudowa budynku  oraz  rozbudowa instalacji okablowania- budynek WIL W-1(10-20) </w:t>
            </w:r>
            <w:proofErr w:type="spellStart"/>
            <w:r w:rsidRPr="00EF54DF">
              <w:rPr>
                <w:rFonts w:ascii="Arial" w:hAnsi="Arial" w:cs="Arial"/>
                <w:bCs/>
                <w:sz w:val="24"/>
                <w:szCs w:val="24"/>
              </w:rPr>
              <w:t>ul.Warszawska</w:t>
            </w:r>
            <w:proofErr w:type="spellEnd"/>
            <w:r w:rsidRPr="00EF54DF">
              <w:rPr>
                <w:rFonts w:ascii="Arial" w:hAnsi="Arial" w:cs="Arial"/>
                <w:bCs/>
                <w:sz w:val="24"/>
                <w:szCs w:val="24"/>
              </w:rPr>
              <w:t xml:space="preserve"> 24 Kraków</w:t>
            </w:r>
            <w:r w:rsidR="004E4B64" w:rsidRPr="004E4B64">
              <w:rPr>
                <w:rFonts w:ascii="Arial" w:hAnsi="Arial" w:cs="Arial"/>
                <w:bCs/>
                <w:sz w:val="24"/>
                <w:szCs w:val="24"/>
              </w:rPr>
              <w:t>.</w:t>
            </w:r>
          </w:p>
        </w:tc>
      </w:tr>
      <w:tr w:rsidR="00EF54DF" w:rsidRPr="004E4B64" w:rsidTr="00506EC0">
        <w:tc>
          <w:tcPr>
            <w:tcW w:w="2269" w:type="dxa"/>
            <w:shd w:val="clear" w:color="auto" w:fill="auto"/>
          </w:tcPr>
          <w:p w:rsidR="00EF54DF" w:rsidRPr="004E4B64" w:rsidRDefault="00EF54DF" w:rsidP="003639F4">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rsidR="00EF54DF" w:rsidRPr="004E4B64" w:rsidRDefault="00EF54DF" w:rsidP="003639F4">
            <w:pPr>
              <w:tabs>
                <w:tab w:val="center" w:pos="4536"/>
                <w:tab w:val="right" w:pos="9072"/>
              </w:tabs>
              <w:jc w:val="both"/>
              <w:rPr>
                <w:rFonts w:ascii="Arial" w:hAnsi="Arial" w:cs="Arial"/>
                <w:bCs/>
                <w:sz w:val="24"/>
                <w:szCs w:val="24"/>
              </w:rPr>
            </w:pPr>
            <w:r w:rsidRPr="00EF54DF">
              <w:rPr>
                <w:rFonts w:ascii="Arial" w:hAnsi="Arial" w:cs="Arial"/>
                <w:bCs/>
                <w:sz w:val="24"/>
                <w:szCs w:val="24"/>
              </w:rPr>
              <w:t>KA-2/082/2024</w:t>
            </w:r>
          </w:p>
        </w:tc>
      </w:tr>
    </w:tbl>
    <w:p w:rsidR="004E4B64" w:rsidRPr="00AD45A9" w:rsidRDefault="004E4B64" w:rsidP="003639F4">
      <w:pPr>
        <w:tabs>
          <w:tab w:val="left" w:pos="708"/>
          <w:tab w:val="center" w:pos="4536"/>
          <w:tab w:val="right" w:pos="9072"/>
        </w:tabs>
        <w:spacing w:after="120"/>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AD45A9" w:rsidTr="00C46732">
        <w:tc>
          <w:tcPr>
            <w:tcW w:w="9330" w:type="dxa"/>
            <w:shd w:val="clear" w:color="auto" w:fill="F2F2F2"/>
            <w:hideMark/>
          </w:tcPr>
          <w:p w:rsidR="00843A88" w:rsidRPr="00AD45A9" w:rsidRDefault="00843A88" w:rsidP="003639F4">
            <w:pPr>
              <w:keepNext/>
              <w:spacing w:before="240" w:after="240"/>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rsidR="0012774F" w:rsidRPr="00E935D6" w:rsidRDefault="00520165" w:rsidP="003639F4">
      <w:pPr>
        <w:spacing w:before="600" w:after="240"/>
        <w:ind w:firstLine="708"/>
        <w:jc w:val="both"/>
        <w:rPr>
          <w:rFonts w:ascii="Arial" w:hAnsi="Arial" w:cs="Arial"/>
          <w:sz w:val="22"/>
          <w:szCs w:val="22"/>
        </w:rPr>
      </w:pPr>
      <w:r w:rsidRPr="00E935D6">
        <w:rPr>
          <w:rFonts w:ascii="Arial" w:hAnsi="Arial" w:cs="Arial"/>
          <w:sz w:val="24"/>
          <w:szCs w:val="24"/>
        </w:rPr>
        <w:t xml:space="preserve">Zamawiający, </w:t>
      </w:r>
      <w:r w:rsidR="00EF54DF" w:rsidRPr="00EF54DF">
        <w:rPr>
          <w:rFonts w:ascii="Arial" w:hAnsi="Arial" w:cs="Arial"/>
          <w:b/>
          <w:sz w:val="24"/>
          <w:szCs w:val="24"/>
        </w:rPr>
        <w:t>Politechnika Krakowska im. Tadeusza Kościuszki</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EF54DF" w:rsidRPr="00EF54DF">
        <w:rPr>
          <w:rFonts w:ascii="Arial" w:hAnsi="Arial" w:cs="Arial"/>
          <w:sz w:val="24"/>
          <w:szCs w:val="24"/>
        </w:rPr>
        <w:t>(</w:t>
      </w:r>
      <w:proofErr w:type="spellStart"/>
      <w:r w:rsidR="00EF54DF" w:rsidRPr="00EF54DF">
        <w:rPr>
          <w:rFonts w:ascii="Arial" w:hAnsi="Arial" w:cs="Arial"/>
          <w:sz w:val="24"/>
          <w:szCs w:val="24"/>
        </w:rPr>
        <w:t>t.j</w:t>
      </w:r>
      <w:proofErr w:type="spellEnd"/>
      <w:r w:rsidR="00EF54DF" w:rsidRPr="00EF54DF">
        <w:rPr>
          <w:rFonts w:ascii="Arial" w:hAnsi="Arial" w:cs="Arial"/>
          <w:sz w:val="24"/>
          <w:szCs w:val="24"/>
        </w:rPr>
        <w:t>. Dz. U. z 2024 poz. 1320)</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EF54DF" w:rsidRPr="00E935D6" w:rsidTr="00506EC0">
        <w:tc>
          <w:tcPr>
            <w:tcW w:w="9356" w:type="dxa"/>
            <w:shd w:val="clear" w:color="auto" w:fill="auto"/>
          </w:tcPr>
          <w:p w:rsidR="00EF54DF" w:rsidRPr="004E4B64" w:rsidRDefault="00EF54DF" w:rsidP="003639F4">
            <w:pPr>
              <w:spacing w:before="60" w:after="60"/>
              <w:ind w:left="30" w:right="-72"/>
              <w:rPr>
                <w:rFonts w:ascii="Arial" w:hAnsi="Arial" w:cs="Arial"/>
                <w:b/>
                <w:bCs/>
                <w:sz w:val="24"/>
                <w:szCs w:val="24"/>
              </w:rPr>
            </w:pPr>
            <w:r w:rsidRPr="004E4B64">
              <w:rPr>
                <w:rFonts w:ascii="Arial" w:hAnsi="Arial" w:cs="Arial"/>
                <w:b/>
                <w:bCs/>
                <w:sz w:val="24"/>
                <w:szCs w:val="24"/>
              </w:rPr>
              <w:t>Pytani</w:t>
            </w:r>
            <w:r w:rsidR="003639F4">
              <w:rPr>
                <w:rFonts w:ascii="Arial" w:hAnsi="Arial" w:cs="Arial"/>
                <w:b/>
                <w:bCs/>
                <w:sz w:val="24"/>
                <w:szCs w:val="24"/>
              </w:rPr>
              <w:t>a</w:t>
            </w:r>
          </w:p>
          <w:p w:rsidR="00EF54DF" w:rsidRPr="00EF54DF" w:rsidRDefault="00EF54DF" w:rsidP="003639F4">
            <w:pPr>
              <w:spacing w:after="120"/>
              <w:ind w:left="30" w:right="-72"/>
              <w:jc w:val="both"/>
              <w:rPr>
                <w:rFonts w:ascii="Arial" w:hAnsi="Arial" w:cs="Arial"/>
                <w:sz w:val="24"/>
                <w:szCs w:val="24"/>
              </w:rPr>
            </w:pPr>
            <w:r w:rsidRPr="00EF54DF">
              <w:rPr>
                <w:rFonts w:ascii="Arial" w:hAnsi="Arial" w:cs="Arial"/>
                <w:sz w:val="24"/>
                <w:szCs w:val="24"/>
              </w:rPr>
              <w:t xml:space="preserve">Przyłączamy się do pytań zadanych przez innych Wykonawców, dotyczących opisu przedmiotu zamówienia, jednoznacznie wskazującego na konkretnego producenta tj. firmę </w:t>
            </w:r>
            <w:proofErr w:type="spellStart"/>
            <w:r w:rsidRPr="00EF54DF">
              <w:rPr>
                <w:rFonts w:ascii="Arial" w:hAnsi="Arial" w:cs="Arial"/>
                <w:sz w:val="24"/>
                <w:szCs w:val="24"/>
              </w:rPr>
              <w:t>Lanster</w:t>
            </w:r>
            <w:proofErr w:type="spellEnd"/>
            <w:r w:rsidRPr="00EF54DF">
              <w:rPr>
                <w:rFonts w:ascii="Arial" w:hAnsi="Arial" w:cs="Arial"/>
                <w:sz w:val="24"/>
                <w:szCs w:val="24"/>
              </w:rPr>
              <w:t xml:space="preserve">. W wyjaśnieniach treści SWZ z dnia 05.11.2024r., w odpowiedzi na pytanie nr 1 Zamawiający odmówił określenia parametrów równoważności, jednocześnie wprost formułując oczekiwanie dostawy systemu producenta </w:t>
            </w:r>
            <w:proofErr w:type="spellStart"/>
            <w:r w:rsidRPr="00EF54DF">
              <w:rPr>
                <w:rFonts w:ascii="Arial" w:hAnsi="Arial" w:cs="Arial"/>
                <w:sz w:val="24"/>
                <w:szCs w:val="24"/>
              </w:rPr>
              <w:t>Lanster</w:t>
            </w:r>
            <w:proofErr w:type="spellEnd"/>
            <w:r w:rsidRPr="00EF54DF">
              <w:rPr>
                <w:rFonts w:ascii="Arial" w:hAnsi="Arial" w:cs="Arial"/>
                <w:sz w:val="24"/>
                <w:szCs w:val="24"/>
              </w:rPr>
              <w:t xml:space="preserve">. W wyjaśnieniach treści SWZ z dnia 18.11.2024r. w odpowiedzi na pytanie nr 1 Zamawiający wykazuje, że jego prawo do oczekiwania dostawy konkretnego producenta wynika z art. 99 ust. 5 ustawy Prawo zamówień publicznych. </w:t>
            </w:r>
          </w:p>
          <w:p w:rsidR="00EF54DF" w:rsidRPr="00EF54DF" w:rsidRDefault="00EF54DF" w:rsidP="003639F4">
            <w:pPr>
              <w:spacing w:after="120"/>
              <w:ind w:left="30" w:right="-72"/>
              <w:jc w:val="both"/>
              <w:rPr>
                <w:rFonts w:ascii="Arial" w:hAnsi="Arial" w:cs="Arial"/>
                <w:sz w:val="24"/>
                <w:szCs w:val="24"/>
              </w:rPr>
            </w:pPr>
            <w:r w:rsidRPr="00EF54DF">
              <w:rPr>
                <w:rFonts w:ascii="Arial" w:hAnsi="Arial" w:cs="Arial"/>
                <w:sz w:val="24"/>
                <w:szCs w:val="24"/>
              </w:rPr>
              <w:t>Zwracamy uwagę Zamawiającego na dwa fakty. Po pierwsze art. 99 ust 5 rzeczywiście umożliwia opis przedmiotu zamówienia poprzez wskazanie rozwiązań konkretnego producenta, ale równocześnie jednoznacznie wymaga dopuszczenia rozwiązań równoważnych. Wynika to bezpośrednio z treści ww. artykułu, do którego Zamawiający odnosił się w odpowiedzi na pytanie. Równocześnie, artykuł ten dotyczy opisu przedmiotu zamówienia za pomocą konkretnych rozwiązań pochodzących od danego producenta, a nie daje możliwości arbitralnego stwierdzenia, że dopuszczony zostanie tylko konkretny producent. Po drugie Prawo zamówień publicznych jednoznacznie wymaga od Zamawiającego wskazania kryteriów stosowanych w ocenie równoważności w wypadku zastosowania przez Zamawiającego art. 99 ust. 5. Wynika to bezpośrednio z treści art. 99 ust. 6, który brzmi: „Jeżeli przedmiot zamówienia został opisany w sposób, o którym mowa w ust. 5, zamawiający wskazuje w opisie przedmiotu zamówienia kryteria stosowane w celu oceny równoważności”.</w:t>
            </w:r>
          </w:p>
          <w:p w:rsidR="00EF54DF" w:rsidRPr="00EF54DF" w:rsidRDefault="00EF54DF" w:rsidP="003639F4">
            <w:pPr>
              <w:spacing w:after="120"/>
              <w:ind w:left="30" w:right="-72"/>
              <w:jc w:val="both"/>
              <w:rPr>
                <w:rFonts w:ascii="Arial" w:hAnsi="Arial" w:cs="Arial"/>
                <w:sz w:val="24"/>
                <w:szCs w:val="24"/>
              </w:rPr>
            </w:pPr>
            <w:r w:rsidRPr="00EF54DF">
              <w:rPr>
                <w:rFonts w:ascii="Arial" w:hAnsi="Arial" w:cs="Arial"/>
                <w:sz w:val="24"/>
                <w:szCs w:val="24"/>
              </w:rPr>
              <w:t xml:space="preserve">Mając na uwadze powyższe, przyłączamy się do wniosku innych Wykonawców o podanie kryteriów stosowanych w celu oceny równoważności zgodnie z zapisami art. 99 </w:t>
            </w:r>
            <w:proofErr w:type="spellStart"/>
            <w:r w:rsidRPr="00EF54DF">
              <w:rPr>
                <w:rFonts w:ascii="Arial" w:hAnsi="Arial" w:cs="Arial"/>
                <w:sz w:val="24"/>
                <w:szCs w:val="24"/>
              </w:rPr>
              <w:t>Pzp</w:t>
            </w:r>
            <w:proofErr w:type="spellEnd"/>
            <w:r w:rsidRPr="00EF54DF">
              <w:rPr>
                <w:rFonts w:ascii="Arial" w:hAnsi="Arial" w:cs="Arial"/>
                <w:sz w:val="24"/>
                <w:szCs w:val="24"/>
              </w:rPr>
              <w:t>.</w:t>
            </w:r>
          </w:p>
          <w:p w:rsidR="00EF54DF" w:rsidRPr="004E4B64" w:rsidRDefault="00EF54DF" w:rsidP="003639F4">
            <w:pPr>
              <w:spacing w:after="120"/>
              <w:ind w:left="30" w:right="-72"/>
              <w:jc w:val="both"/>
              <w:rPr>
                <w:rFonts w:ascii="Arial" w:hAnsi="Arial" w:cs="Arial"/>
                <w:sz w:val="24"/>
                <w:szCs w:val="24"/>
              </w:rPr>
            </w:pPr>
            <w:r w:rsidRPr="00EF54DF">
              <w:rPr>
                <w:rFonts w:ascii="Arial" w:hAnsi="Arial" w:cs="Arial"/>
                <w:sz w:val="24"/>
                <w:szCs w:val="24"/>
              </w:rPr>
              <w:lastRenderedPageBreak/>
              <w:t xml:space="preserve">Istnieją na rynku inni niż firma </w:t>
            </w:r>
            <w:proofErr w:type="spellStart"/>
            <w:r w:rsidRPr="00EF54DF">
              <w:rPr>
                <w:rFonts w:ascii="Arial" w:hAnsi="Arial" w:cs="Arial"/>
                <w:sz w:val="24"/>
                <w:szCs w:val="24"/>
              </w:rPr>
              <w:t>Lanster</w:t>
            </w:r>
            <w:proofErr w:type="spellEnd"/>
            <w:r w:rsidRPr="00EF54DF">
              <w:rPr>
                <w:rFonts w:ascii="Arial" w:hAnsi="Arial" w:cs="Arial"/>
                <w:sz w:val="24"/>
                <w:szCs w:val="24"/>
              </w:rPr>
              <w:t xml:space="preserve"> producenci okablowania strukturalnego, którzy są w stanie spełnić wymagania techniczne stawiane przedmiotowi zamówienia oraz są w stanie udzielić 25-cio letniej gwarancji na dostarczony system. Wymaganie jednorodnego okablowania w obrębie całego budynku nie jest normą w wypadku etapowanych prac remontowych objętych osobnymi przetargami publicznymi. Na wielu budynkach Zamawiającego istnieją sieci okablowania strukturalnego składające się z połączonych systemów różnych producentów, wykonanych w ramach różnych przetargów, na które udzielono osobnych gwarancji systemowych. Arbitralne stwierdzenie, że Zamawiający wymaga dostawy systemu producenta </w:t>
            </w:r>
            <w:proofErr w:type="spellStart"/>
            <w:r w:rsidRPr="00EF54DF">
              <w:rPr>
                <w:rFonts w:ascii="Arial" w:hAnsi="Arial" w:cs="Arial"/>
                <w:sz w:val="24"/>
                <w:szCs w:val="24"/>
              </w:rPr>
              <w:t>Lanster</w:t>
            </w:r>
            <w:proofErr w:type="spellEnd"/>
            <w:r w:rsidRPr="00EF54DF">
              <w:rPr>
                <w:rFonts w:ascii="Arial" w:hAnsi="Arial" w:cs="Arial"/>
                <w:sz w:val="24"/>
                <w:szCs w:val="24"/>
              </w:rPr>
              <w:t xml:space="preserve"> bez dopuszczenia rozwiązań równoważnych technicznie prowadzi do sytuacji, w której z góry wiadomo kto ma dostarczać Wykonawcom okablowanie. Taka sytuacja stanowi naruszenie zasady uczciwej konkurencji. Dodatkowo fakt, że producent ma świadomość, że nie ma dla niego alternatywy może prowadzić do licznych nieprawidłowości wydatkowania środków publicznych.</w:t>
            </w:r>
          </w:p>
          <w:p w:rsidR="00EF54DF" w:rsidRPr="004E4B64" w:rsidRDefault="00EF54DF" w:rsidP="003639F4">
            <w:pPr>
              <w:spacing w:after="40"/>
              <w:ind w:left="30" w:right="-72"/>
              <w:rPr>
                <w:rFonts w:ascii="Arial" w:hAnsi="Arial" w:cs="Arial"/>
                <w:b/>
                <w:bCs/>
                <w:sz w:val="24"/>
                <w:szCs w:val="24"/>
              </w:rPr>
            </w:pPr>
            <w:r w:rsidRPr="004E4B64">
              <w:rPr>
                <w:rFonts w:ascii="Arial" w:hAnsi="Arial" w:cs="Arial"/>
                <w:b/>
                <w:bCs/>
                <w:sz w:val="24"/>
                <w:szCs w:val="24"/>
              </w:rPr>
              <w:t>Stanowisko (wyjaśnienie) Zamawiającego:</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W odpowiedzi na przedstawione pytania i uwagi dotyczące wyboru systemu okablowania </w:t>
            </w:r>
            <w:proofErr w:type="spellStart"/>
            <w:r w:rsidRPr="003639F4">
              <w:rPr>
                <w:rFonts w:ascii="Arial" w:hAnsi="Arial" w:cs="Arial"/>
                <w:sz w:val="24"/>
                <w:szCs w:val="24"/>
              </w:rPr>
              <w:t>CommScope</w:t>
            </w:r>
            <w:proofErr w:type="spellEnd"/>
            <w:r w:rsidRPr="003639F4">
              <w:rPr>
                <w:rFonts w:ascii="Arial" w:hAnsi="Arial" w:cs="Arial"/>
                <w:sz w:val="24"/>
                <w:szCs w:val="24"/>
              </w:rPr>
              <w:t xml:space="preserve"> ACO i AWS w kontekście przepisów ustawy Prawo zamówień publicznych (</w:t>
            </w:r>
            <w:proofErr w:type="spellStart"/>
            <w:r w:rsidRPr="003639F4">
              <w:rPr>
                <w:rFonts w:ascii="Arial" w:hAnsi="Arial" w:cs="Arial"/>
                <w:sz w:val="24"/>
                <w:szCs w:val="24"/>
              </w:rPr>
              <w:t>Pzp</w:t>
            </w:r>
            <w:proofErr w:type="spellEnd"/>
            <w:r w:rsidRPr="003639F4">
              <w:rPr>
                <w:rFonts w:ascii="Arial" w:hAnsi="Arial" w:cs="Arial"/>
                <w:sz w:val="24"/>
                <w:szCs w:val="24"/>
              </w:rPr>
              <w:t xml:space="preserve">), przedstawiamy poniższe wyjaśnienia: </w:t>
            </w:r>
          </w:p>
          <w:p w:rsidR="003639F4" w:rsidRPr="00254801" w:rsidRDefault="003639F4" w:rsidP="003639F4">
            <w:pPr>
              <w:spacing w:after="60"/>
              <w:ind w:left="30" w:right="-72"/>
              <w:jc w:val="both"/>
              <w:rPr>
                <w:rFonts w:ascii="Arial" w:hAnsi="Arial" w:cs="Arial"/>
                <w:b/>
                <w:sz w:val="24"/>
                <w:szCs w:val="24"/>
              </w:rPr>
            </w:pPr>
            <w:r w:rsidRPr="00254801">
              <w:rPr>
                <w:rFonts w:ascii="Arial" w:hAnsi="Arial" w:cs="Arial"/>
                <w:b/>
                <w:sz w:val="24"/>
                <w:szCs w:val="24"/>
              </w:rPr>
              <w:t xml:space="preserve">1. Zastosowanie art. 99 ust. 5 </w:t>
            </w:r>
            <w:proofErr w:type="spellStart"/>
            <w:r w:rsidRPr="00254801">
              <w:rPr>
                <w:rFonts w:ascii="Arial" w:hAnsi="Arial" w:cs="Arial"/>
                <w:b/>
                <w:sz w:val="24"/>
                <w:szCs w:val="24"/>
              </w:rPr>
              <w:t>Pzp</w:t>
            </w:r>
            <w:proofErr w:type="spellEnd"/>
            <w:r w:rsidRPr="00254801">
              <w:rPr>
                <w:rFonts w:ascii="Arial" w:hAnsi="Arial" w:cs="Arial"/>
                <w:b/>
                <w:sz w:val="24"/>
                <w:szCs w:val="24"/>
              </w:rPr>
              <w:t xml:space="preserve">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Zamawiający, zgodnie z art. 99 ust. 5 </w:t>
            </w:r>
            <w:proofErr w:type="spellStart"/>
            <w:r w:rsidRPr="003639F4">
              <w:rPr>
                <w:rFonts w:ascii="Arial" w:hAnsi="Arial" w:cs="Arial"/>
                <w:sz w:val="24"/>
                <w:szCs w:val="24"/>
              </w:rPr>
              <w:t>Pzp</w:t>
            </w:r>
            <w:proofErr w:type="spellEnd"/>
            <w:r w:rsidRPr="003639F4">
              <w:rPr>
                <w:rFonts w:ascii="Arial" w:hAnsi="Arial" w:cs="Arial"/>
                <w:sz w:val="24"/>
                <w:szCs w:val="24"/>
              </w:rPr>
              <w:t xml:space="preserve">, ma prawo opisać przedmiot zamówienia poprzez wskazanie konkretnych rozwiązań technicznych lub systemów pochodzących od danego producenta. Jednak istotne jest, że ten sam przepis nakłada obowiązek dopuszczenia rozwiązań równoważnych. Oznacza to, że nawet jeśli Zamawiający preferuje określony system (np. </w:t>
            </w:r>
            <w:proofErr w:type="spellStart"/>
            <w:r w:rsidRPr="003639F4">
              <w:rPr>
                <w:rFonts w:ascii="Arial" w:hAnsi="Arial" w:cs="Arial"/>
                <w:sz w:val="24"/>
                <w:szCs w:val="24"/>
              </w:rPr>
              <w:t>CommScope</w:t>
            </w:r>
            <w:proofErr w:type="spellEnd"/>
            <w:r w:rsidRPr="003639F4">
              <w:rPr>
                <w:rFonts w:ascii="Arial" w:hAnsi="Arial" w:cs="Arial"/>
                <w:sz w:val="24"/>
                <w:szCs w:val="24"/>
              </w:rPr>
              <w:t xml:space="preserve"> ACO i AWS), musi jednocześnie wskazać kryteria, które umożliwią ocenę równoważności.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W związku z tym Zamawiający potwierdza, że w ramach przedmiotu zamówienia możliwe jest złożenie oferty na rozwiązania równoważne technicznie, o ile spełniają one następujące wymagania: </w:t>
            </w:r>
          </w:p>
          <w:p w:rsidR="003639F4" w:rsidRPr="003639F4" w:rsidRDefault="003639F4" w:rsidP="00254801">
            <w:pPr>
              <w:numPr>
                <w:ilvl w:val="0"/>
                <w:numId w:val="8"/>
              </w:numPr>
              <w:spacing w:after="60"/>
              <w:ind w:right="-72"/>
              <w:jc w:val="both"/>
              <w:rPr>
                <w:rFonts w:ascii="Arial" w:hAnsi="Arial" w:cs="Arial"/>
                <w:sz w:val="24"/>
                <w:szCs w:val="24"/>
              </w:rPr>
            </w:pPr>
            <w:r w:rsidRPr="003639F4">
              <w:rPr>
                <w:rFonts w:ascii="Arial" w:hAnsi="Arial" w:cs="Arial"/>
                <w:sz w:val="24"/>
                <w:szCs w:val="24"/>
              </w:rPr>
              <w:t xml:space="preserve">są w pełni kompatybilne z istniejącym systemem okablowania strukturalnego </w:t>
            </w:r>
            <w:proofErr w:type="spellStart"/>
            <w:r w:rsidRPr="003639F4">
              <w:rPr>
                <w:rFonts w:ascii="Arial" w:hAnsi="Arial" w:cs="Arial"/>
                <w:sz w:val="24"/>
                <w:szCs w:val="24"/>
              </w:rPr>
              <w:t>CommScope</w:t>
            </w:r>
            <w:proofErr w:type="spellEnd"/>
            <w:r w:rsidRPr="003639F4">
              <w:rPr>
                <w:rFonts w:ascii="Arial" w:hAnsi="Arial" w:cs="Arial"/>
                <w:sz w:val="24"/>
                <w:szCs w:val="24"/>
              </w:rPr>
              <w:t xml:space="preserve"> ACO zainstalowanym już w Budynku WIL PK, </w:t>
            </w:r>
          </w:p>
          <w:p w:rsidR="003639F4" w:rsidRPr="003639F4" w:rsidRDefault="003639F4" w:rsidP="00254801">
            <w:pPr>
              <w:numPr>
                <w:ilvl w:val="0"/>
                <w:numId w:val="8"/>
              </w:numPr>
              <w:spacing w:after="60"/>
              <w:ind w:right="-72"/>
              <w:jc w:val="both"/>
              <w:rPr>
                <w:rFonts w:ascii="Arial" w:hAnsi="Arial" w:cs="Arial"/>
                <w:sz w:val="24"/>
                <w:szCs w:val="24"/>
              </w:rPr>
            </w:pPr>
            <w:r w:rsidRPr="003639F4">
              <w:rPr>
                <w:rFonts w:ascii="Arial" w:hAnsi="Arial" w:cs="Arial"/>
                <w:sz w:val="24"/>
                <w:szCs w:val="24"/>
              </w:rPr>
              <w:t xml:space="preserve">zapewniają możliwość uzyskania 25-letniej gwarancji systemowej, </w:t>
            </w:r>
          </w:p>
          <w:p w:rsidR="003639F4" w:rsidRPr="003639F4" w:rsidRDefault="003639F4" w:rsidP="00254801">
            <w:pPr>
              <w:numPr>
                <w:ilvl w:val="0"/>
                <w:numId w:val="8"/>
              </w:numPr>
              <w:spacing w:after="60"/>
              <w:ind w:right="-72"/>
              <w:jc w:val="both"/>
              <w:rPr>
                <w:rFonts w:ascii="Arial" w:hAnsi="Arial" w:cs="Arial"/>
                <w:sz w:val="24"/>
                <w:szCs w:val="24"/>
              </w:rPr>
            </w:pPr>
            <w:r w:rsidRPr="003639F4">
              <w:rPr>
                <w:rFonts w:ascii="Arial" w:hAnsi="Arial" w:cs="Arial"/>
                <w:sz w:val="24"/>
                <w:szCs w:val="24"/>
              </w:rPr>
              <w:t xml:space="preserve">spełniają minimalne wymagania techniczne określone w SWZ. </w:t>
            </w:r>
          </w:p>
          <w:p w:rsidR="003639F4" w:rsidRPr="000D48D3" w:rsidRDefault="003639F4" w:rsidP="003639F4">
            <w:pPr>
              <w:spacing w:after="60"/>
              <w:ind w:left="30" w:right="-72"/>
              <w:jc w:val="both"/>
              <w:rPr>
                <w:rFonts w:ascii="Arial" w:hAnsi="Arial" w:cs="Arial"/>
                <w:b/>
                <w:sz w:val="24"/>
                <w:szCs w:val="24"/>
              </w:rPr>
            </w:pPr>
            <w:r w:rsidRPr="000D48D3">
              <w:rPr>
                <w:rFonts w:ascii="Arial" w:hAnsi="Arial" w:cs="Arial"/>
                <w:b/>
                <w:sz w:val="24"/>
                <w:szCs w:val="24"/>
              </w:rPr>
              <w:t xml:space="preserve">2. Wymóg jednorodności systemu okablowania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Zamawiający uznaje, że w przypadku etapowanych prac remontowych mogą istnieć budynki, w których funkcjonują sieci składające się z systemów różnych producentów. Niemniej jednak, w przedmiotowym zamówieniu Zamawiający uzasadnia wymaganie jednorodności systemu okablowania w obrębie rozbudowywanej infrastruktury z uwagi na: </w:t>
            </w:r>
          </w:p>
          <w:p w:rsidR="003639F4" w:rsidRPr="003639F4" w:rsidRDefault="003639F4" w:rsidP="000D48D3">
            <w:pPr>
              <w:numPr>
                <w:ilvl w:val="0"/>
                <w:numId w:val="9"/>
              </w:numPr>
              <w:spacing w:after="60"/>
              <w:ind w:right="-72"/>
              <w:jc w:val="both"/>
              <w:rPr>
                <w:rFonts w:ascii="Arial" w:hAnsi="Arial" w:cs="Arial"/>
                <w:sz w:val="24"/>
                <w:szCs w:val="24"/>
              </w:rPr>
            </w:pPr>
            <w:r w:rsidRPr="003639F4">
              <w:rPr>
                <w:rFonts w:ascii="Arial" w:hAnsi="Arial" w:cs="Arial"/>
                <w:sz w:val="24"/>
                <w:szCs w:val="24"/>
              </w:rPr>
              <w:t xml:space="preserve">konieczność zachowania spójności technicznej i estetycznej, </w:t>
            </w:r>
          </w:p>
          <w:p w:rsidR="003639F4" w:rsidRPr="003639F4" w:rsidRDefault="003639F4" w:rsidP="000D48D3">
            <w:pPr>
              <w:numPr>
                <w:ilvl w:val="0"/>
                <w:numId w:val="9"/>
              </w:numPr>
              <w:spacing w:after="60"/>
              <w:ind w:right="-72"/>
              <w:jc w:val="both"/>
              <w:rPr>
                <w:rFonts w:ascii="Arial" w:hAnsi="Arial" w:cs="Arial"/>
                <w:sz w:val="24"/>
                <w:szCs w:val="24"/>
              </w:rPr>
            </w:pPr>
            <w:r w:rsidRPr="003639F4">
              <w:rPr>
                <w:rFonts w:ascii="Arial" w:hAnsi="Arial" w:cs="Arial"/>
                <w:sz w:val="24"/>
                <w:szCs w:val="24"/>
              </w:rPr>
              <w:t xml:space="preserve">ułatwienie zarządzania infrastrukturą w dłuższym okresie użytkowania, </w:t>
            </w:r>
          </w:p>
          <w:p w:rsidR="003639F4" w:rsidRPr="003639F4" w:rsidRDefault="003639F4" w:rsidP="000D48D3">
            <w:pPr>
              <w:numPr>
                <w:ilvl w:val="0"/>
                <w:numId w:val="9"/>
              </w:numPr>
              <w:spacing w:after="60"/>
              <w:ind w:right="-72"/>
              <w:jc w:val="both"/>
              <w:rPr>
                <w:rFonts w:ascii="Arial" w:hAnsi="Arial" w:cs="Arial"/>
                <w:sz w:val="24"/>
                <w:szCs w:val="24"/>
              </w:rPr>
            </w:pPr>
            <w:r w:rsidRPr="003639F4">
              <w:rPr>
                <w:rFonts w:ascii="Arial" w:hAnsi="Arial" w:cs="Arial"/>
                <w:sz w:val="24"/>
                <w:szCs w:val="24"/>
              </w:rPr>
              <w:t xml:space="preserve">możliwość stosowania jednolitych procedur serwisowych i konserwacyjnych. </w:t>
            </w:r>
          </w:p>
          <w:p w:rsidR="003639F4" w:rsidRPr="003639F4" w:rsidRDefault="003639F4" w:rsidP="000D48D3">
            <w:pPr>
              <w:numPr>
                <w:ilvl w:val="0"/>
                <w:numId w:val="9"/>
              </w:numPr>
              <w:spacing w:after="60"/>
              <w:ind w:right="-72"/>
              <w:jc w:val="both"/>
              <w:rPr>
                <w:rFonts w:ascii="Arial" w:hAnsi="Arial" w:cs="Arial"/>
                <w:sz w:val="24"/>
                <w:szCs w:val="24"/>
              </w:rPr>
            </w:pPr>
            <w:r w:rsidRPr="003639F4">
              <w:rPr>
                <w:rFonts w:ascii="Arial" w:hAnsi="Arial" w:cs="Arial"/>
                <w:sz w:val="24"/>
                <w:szCs w:val="24"/>
              </w:rPr>
              <w:t>wykorzystanie posiadanych elementów wymiennych.</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Wybór systemu </w:t>
            </w:r>
            <w:proofErr w:type="spellStart"/>
            <w:r w:rsidRPr="003639F4">
              <w:rPr>
                <w:rFonts w:ascii="Arial" w:hAnsi="Arial" w:cs="Arial"/>
                <w:sz w:val="24"/>
                <w:szCs w:val="24"/>
              </w:rPr>
              <w:t>CommScope</w:t>
            </w:r>
            <w:proofErr w:type="spellEnd"/>
            <w:r w:rsidRPr="003639F4">
              <w:rPr>
                <w:rFonts w:ascii="Arial" w:hAnsi="Arial" w:cs="Arial"/>
                <w:sz w:val="24"/>
                <w:szCs w:val="24"/>
              </w:rPr>
              <w:t xml:space="preserve"> ACO i AWS został dokonany w związku z istniejącą infrastrukturą tego producenta w obiektach Zamawiającego. Rozwiązanie to minimalizuje ryzyko wystąpienia problemów związanych z niekompatybilnością techniczną oraz koniecznością modyfikacji posiadanej dokumentacji technicznej i zapewnia optymalne wykorzystanie zasobów.  </w:t>
            </w:r>
          </w:p>
          <w:p w:rsidR="003639F4" w:rsidRPr="00442238" w:rsidRDefault="003639F4" w:rsidP="003639F4">
            <w:pPr>
              <w:spacing w:after="60"/>
              <w:ind w:left="30" w:right="-72"/>
              <w:jc w:val="both"/>
              <w:rPr>
                <w:rFonts w:ascii="Arial" w:hAnsi="Arial" w:cs="Arial"/>
                <w:b/>
                <w:sz w:val="24"/>
                <w:szCs w:val="24"/>
              </w:rPr>
            </w:pPr>
            <w:r w:rsidRPr="00442238">
              <w:rPr>
                <w:rFonts w:ascii="Arial" w:hAnsi="Arial" w:cs="Arial"/>
                <w:b/>
                <w:sz w:val="24"/>
                <w:szCs w:val="24"/>
              </w:rPr>
              <w:lastRenderedPageBreak/>
              <w:t xml:space="preserve">3. Kryteria oceny rozwiązań równoważnych (art. 99 ust. 6 </w:t>
            </w:r>
            <w:proofErr w:type="spellStart"/>
            <w:r w:rsidRPr="00442238">
              <w:rPr>
                <w:rFonts w:ascii="Arial" w:hAnsi="Arial" w:cs="Arial"/>
                <w:b/>
                <w:sz w:val="24"/>
                <w:szCs w:val="24"/>
              </w:rPr>
              <w:t>Pzp</w:t>
            </w:r>
            <w:proofErr w:type="spellEnd"/>
            <w:r w:rsidRPr="00442238">
              <w:rPr>
                <w:rFonts w:ascii="Arial" w:hAnsi="Arial" w:cs="Arial"/>
                <w:b/>
                <w:sz w:val="24"/>
                <w:szCs w:val="24"/>
              </w:rPr>
              <w:t xml:space="preserve">)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Zamawiający, zgodnie z art. 99 ust. 6 </w:t>
            </w:r>
            <w:proofErr w:type="spellStart"/>
            <w:r w:rsidRPr="003639F4">
              <w:rPr>
                <w:rFonts w:ascii="Arial" w:hAnsi="Arial" w:cs="Arial"/>
                <w:sz w:val="24"/>
                <w:szCs w:val="24"/>
              </w:rPr>
              <w:t>Pzp</w:t>
            </w:r>
            <w:proofErr w:type="spellEnd"/>
            <w:r w:rsidRPr="003639F4">
              <w:rPr>
                <w:rFonts w:ascii="Arial" w:hAnsi="Arial" w:cs="Arial"/>
                <w:sz w:val="24"/>
                <w:szCs w:val="24"/>
              </w:rPr>
              <w:t xml:space="preserve">, wskazuje kryteria stosowane w celu oceny równoważności: </w:t>
            </w:r>
          </w:p>
          <w:p w:rsidR="003639F4" w:rsidRPr="003639F4" w:rsidRDefault="003639F4" w:rsidP="00442238">
            <w:pPr>
              <w:numPr>
                <w:ilvl w:val="0"/>
                <w:numId w:val="10"/>
              </w:numPr>
              <w:spacing w:after="60"/>
              <w:ind w:right="-72"/>
              <w:jc w:val="both"/>
              <w:rPr>
                <w:rFonts w:ascii="Arial" w:hAnsi="Arial" w:cs="Arial"/>
                <w:sz w:val="24"/>
                <w:szCs w:val="24"/>
              </w:rPr>
            </w:pPr>
            <w:r w:rsidRPr="003639F4">
              <w:rPr>
                <w:rFonts w:ascii="Arial" w:hAnsi="Arial" w:cs="Arial"/>
                <w:sz w:val="24"/>
                <w:szCs w:val="24"/>
              </w:rPr>
              <w:t xml:space="preserve">Kompatybilność techniczna - rozwiązanie równoważne musi być w pełni kompatybilne z istniejącym systemem </w:t>
            </w:r>
            <w:proofErr w:type="spellStart"/>
            <w:r w:rsidRPr="003639F4">
              <w:rPr>
                <w:rFonts w:ascii="Arial" w:hAnsi="Arial" w:cs="Arial"/>
                <w:sz w:val="24"/>
                <w:szCs w:val="24"/>
              </w:rPr>
              <w:t>CommScope</w:t>
            </w:r>
            <w:proofErr w:type="spellEnd"/>
            <w:r w:rsidRPr="003639F4">
              <w:rPr>
                <w:rFonts w:ascii="Arial" w:hAnsi="Arial" w:cs="Arial"/>
                <w:sz w:val="24"/>
                <w:szCs w:val="24"/>
              </w:rPr>
              <w:t xml:space="preserve"> ACO i AWS, w szczególności w zakresie parametrów transmisyjnych i mechanicznych. </w:t>
            </w:r>
          </w:p>
          <w:p w:rsidR="003639F4" w:rsidRPr="003639F4" w:rsidRDefault="003639F4" w:rsidP="00442238">
            <w:pPr>
              <w:numPr>
                <w:ilvl w:val="0"/>
                <w:numId w:val="10"/>
              </w:numPr>
              <w:spacing w:after="60"/>
              <w:ind w:right="-72"/>
              <w:jc w:val="both"/>
              <w:rPr>
                <w:rFonts w:ascii="Arial" w:hAnsi="Arial" w:cs="Arial"/>
                <w:sz w:val="24"/>
                <w:szCs w:val="24"/>
              </w:rPr>
            </w:pPr>
            <w:r w:rsidRPr="003639F4">
              <w:rPr>
                <w:rFonts w:ascii="Arial" w:hAnsi="Arial" w:cs="Arial"/>
                <w:sz w:val="24"/>
                <w:szCs w:val="24"/>
              </w:rPr>
              <w:t xml:space="preserve">Gwarancja systemowa - oferowane rozwiązanie musi zapewniać możliwość uzyskania gwarancji systemowej </w:t>
            </w:r>
            <w:r w:rsidR="00AB6674">
              <w:rPr>
                <w:rFonts w:ascii="Arial" w:hAnsi="Arial" w:cs="Arial"/>
                <w:sz w:val="24"/>
                <w:szCs w:val="24"/>
              </w:rPr>
              <w:t xml:space="preserve">producenta </w:t>
            </w:r>
            <w:bookmarkStart w:id="0" w:name="_GoBack"/>
            <w:bookmarkEnd w:id="0"/>
            <w:r w:rsidRPr="003639F4">
              <w:rPr>
                <w:rFonts w:ascii="Arial" w:hAnsi="Arial" w:cs="Arial"/>
                <w:sz w:val="24"/>
                <w:szCs w:val="24"/>
              </w:rPr>
              <w:t xml:space="preserve">na co najmniej 25 lat. </w:t>
            </w:r>
          </w:p>
          <w:p w:rsidR="003639F4" w:rsidRPr="003639F4" w:rsidRDefault="003639F4" w:rsidP="00442238">
            <w:pPr>
              <w:numPr>
                <w:ilvl w:val="0"/>
                <w:numId w:val="10"/>
              </w:numPr>
              <w:spacing w:after="60"/>
              <w:ind w:right="-72"/>
              <w:jc w:val="both"/>
              <w:rPr>
                <w:rFonts w:ascii="Arial" w:hAnsi="Arial" w:cs="Arial"/>
                <w:sz w:val="24"/>
                <w:szCs w:val="24"/>
              </w:rPr>
            </w:pPr>
            <w:r w:rsidRPr="003639F4">
              <w:rPr>
                <w:rFonts w:ascii="Arial" w:hAnsi="Arial" w:cs="Arial"/>
                <w:sz w:val="24"/>
                <w:szCs w:val="24"/>
              </w:rPr>
              <w:t xml:space="preserve">Parametry techniczne - rozwiązanie równoważne musi spełniać lub przewyższać parametry techniczne określone w dokumentacji SWZ. </w:t>
            </w:r>
          </w:p>
          <w:p w:rsidR="003639F4" w:rsidRPr="009236F4" w:rsidRDefault="003639F4" w:rsidP="003639F4">
            <w:pPr>
              <w:spacing w:after="60"/>
              <w:ind w:left="30" w:right="-72"/>
              <w:jc w:val="both"/>
              <w:rPr>
                <w:rFonts w:ascii="Arial" w:hAnsi="Arial" w:cs="Arial"/>
                <w:b/>
                <w:sz w:val="24"/>
                <w:szCs w:val="24"/>
              </w:rPr>
            </w:pPr>
            <w:r w:rsidRPr="009236F4">
              <w:rPr>
                <w:rFonts w:ascii="Arial" w:hAnsi="Arial" w:cs="Arial"/>
                <w:b/>
                <w:sz w:val="24"/>
                <w:szCs w:val="24"/>
              </w:rPr>
              <w:t xml:space="preserve">4. Zasada uczciwej konkurencji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Zamawiający zapewnia, że wymaganie jednorodnego systemu okablowania nie jest naruszeniem zasady uczciwej konkurencji, lecz wynika z uzasadnionych potrzeb technicznych i organizacyjnych. Wskazanie konkretnego producenta w opisie przedmiotu zamówienia nie oznacza wykluczenia innych rozwiązań, o ile spełniają one kryteria równoważności. Celem jest zagwarantowanie, że dostarczone rozwiązanie będzie w pełni kompatybilne z istniejącą infrastrukturą, co leży w interesie zarówno Zamawiającego, jak i Wykonawców. </w:t>
            </w:r>
          </w:p>
          <w:p w:rsidR="003639F4" w:rsidRPr="003639F4" w:rsidRDefault="003639F4" w:rsidP="003639F4">
            <w:pPr>
              <w:spacing w:after="60"/>
              <w:ind w:left="30" w:right="-72"/>
              <w:jc w:val="both"/>
              <w:rPr>
                <w:rFonts w:ascii="Arial" w:hAnsi="Arial" w:cs="Arial"/>
                <w:sz w:val="24"/>
                <w:szCs w:val="24"/>
              </w:rPr>
            </w:pPr>
            <w:r w:rsidRPr="003639F4">
              <w:rPr>
                <w:rFonts w:ascii="Arial" w:hAnsi="Arial" w:cs="Arial"/>
                <w:sz w:val="24"/>
                <w:szCs w:val="24"/>
              </w:rPr>
              <w:t xml:space="preserve">Podsumowując, Zamawiający dopuszcza możliwość złożenia ofert na rozwiązania równoważne pod warunkiem, że spełniają one określone w SWZ kryteria oceny równoważności. W ten sposób Zamawiający realizuje wymogi wynikające z art. 99 ust. 5 i 6 </w:t>
            </w:r>
            <w:proofErr w:type="spellStart"/>
            <w:r w:rsidRPr="003639F4">
              <w:rPr>
                <w:rFonts w:ascii="Arial" w:hAnsi="Arial" w:cs="Arial"/>
                <w:sz w:val="24"/>
                <w:szCs w:val="24"/>
              </w:rPr>
              <w:t>Pzp</w:t>
            </w:r>
            <w:proofErr w:type="spellEnd"/>
            <w:r w:rsidRPr="003639F4">
              <w:rPr>
                <w:rFonts w:ascii="Arial" w:hAnsi="Arial" w:cs="Arial"/>
                <w:sz w:val="24"/>
                <w:szCs w:val="24"/>
              </w:rPr>
              <w:t xml:space="preserve">, jednocześnie zapewniając uczciwą konkurencję i efektywne wydatkowanie środków publicznych. </w:t>
            </w:r>
          </w:p>
          <w:p w:rsidR="003639F4" w:rsidRPr="003639F4" w:rsidRDefault="003639F4" w:rsidP="003639F4">
            <w:pPr>
              <w:spacing w:after="60"/>
              <w:ind w:left="30" w:right="-72"/>
              <w:jc w:val="both"/>
              <w:rPr>
                <w:rFonts w:ascii="Arial" w:hAnsi="Arial" w:cs="Arial"/>
                <w:sz w:val="24"/>
                <w:szCs w:val="24"/>
              </w:rPr>
            </w:pPr>
          </w:p>
          <w:p w:rsidR="00EF54DF" w:rsidRPr="00EF54DF" w:rsidRDefault="00EF54DF" w:rsidP="003639F4">
            <w:pPr>
              <w:spacing w:after="60"/>
              <w:ind w:left="30" w:right="-72"/>
              <w:jc w:val="both"/>
              <w:rPr>
                <w:rFonts w:ascii="Arial" w:hAnsi="Arial" w:cs="Arial"/>
                <w:sz w:val="24"/>
                <w:szCs w:val="24"/>
                <w:highlight w:val="darkGray"/>
              </w:rPr>
            </w:pPr>
          </w:p>
        </w:tc>
      </w:tr>
    </w:tbl>
    <w:p w:rsidR="00BE7BFD" w:rsidRPr="00E935D6" w:rsidRDefault="00BE7BFD" w:rsidP="003639F4">
      <w:pPr>
        <w:jc w:val="both"/>
        <w:rPr>
          <w:rFonts w:ascii="Arial" w:hAnsi="Arial" w:cs="Arial"/>
          <w:sz w:val="22"/>
          <w:szCs w:val="22"/>
        </w:rPr>
      </w:pPr>
    </w:p>
    <w:sectPr w:rsidR="00BE7BFD" w:rsidRPr="00E935D6" w:rsidSect="003639F4">
      <w:headerReference w:type="even" r:id="rId7"/>
      <w:headerReference w:type="default" r:id="rId8"/>
      <w:footerReference w:type="even" r:id="rId9"/>
      <w:footerReference w:type="default" r:id="rId10"/>
      <w:headerReference w:type="first" r:id="rId11"/>
      <w:footerReference w:type="first" r:id="rId12"/>
      <w:pgSz w:w="11906" w:h="16838" w:code="9"/>
      <w:pgMar w:top="1135"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619B" w:rsidRDefault="003B619B">
      <w:r>
        <w:separator/>
      </w:r>
    </w:p>
  </w:endnote>
  <w:endnote w:type="continuationSeparator" w:id="0">
    <w:p w:rsidR="003B619B" w:rsidRDefault="003B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619B" w:rsidRDefault="003B619B">
      <w:r>
        <w:separator/>
      </w:r>
    </w:p>
  </w:footnote>
  <w:footnote w:type="continuationSeparator" w:id="0">
    <w:p w:rsidR="003B619B" w:rsidRDefault="003B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4DF" w:rsidRDefault="00EF54D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4DF" w:rsidRDefault="00EF54D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54DF" w:rsidRDefault="00EF54D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E05B92"/>
    <w:multiLevelType w:val="hybridMultilevel"/>
    <w:tmpl w:val="4FA2551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5B0E5E97"/>
    <w:multiLevelType w:val="hybridMultilevel"/>
    <w:tmpl w:val="FE50D93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6" w15:restartNumberingAfterBreak="0">
    <w:nsid w:val="5DC930AD"/>
    <w:multiLevelType w:val="hybridMultilevel"/>
    <w:tmpl w:val="406CFFC2"/>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9"/>
  </w:num>
  <w:num w:numId="3">
    <w:abstractNumId w:val="3"/>
  </w:num>
  <w:num w:numId="4">
    <w:abstractNumId w:val="8"/>
  </w:num>
  <w:num w:numId="5">
    <w:abstractNumId w:val="1"/>
  </w:num>
  <w:num w:numId="6">
    <w:abstractNumId w:val="2"/>
  </w:num>
  <w:num w:numId="7">
    <w:abstractNumId w:val="7"/>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619B"/>
    <w:rsid w:val="00031374"/>
    <w:rsid w:val="000A1097"/>
    <w:rsid w:val="000D48D3"/>
    <w:rsid w:val="000E2A8F"/>
    <w:rsid w:val="0012774F"/>
    <w:rsid w:val="00144B7A"/>
    <w:rsid w:val="00180C6E"/>
    <w:rsid w:val="00254801"/>
    <w:rsid w:val="0029606A"/>
    <w:rsid w:val="003639F4"/>
    <w:rsid w:val="003B619B"/>
    <w:rsid w:val="00442238"/>
    <w:rsid w:val="004848F3"/>
    <w:rsid w:val="004A75F2"/>
    <w:rsid w:val="004E4B64"/>
    <w:rsid w:val="005144A9"/>
    <w:rsid w:val="00520165"/>
    <w:rsid w:val="005B1B08"/>
    <w:rsid w:val="00632C3C"/>
    <w:rsid w:val="00662BDB"/>
    <w:rsid w:val="006A5DF1"/>
    <w:rsid w:val="006B7198"/>
    <w:rsid w:val="006D4AB3"/>
    <w:rsid w:val="006F3B81"/>
    <w:rsid w:val="007D7198"/>
    <w:rsid w:val="00807010"/>
    <w:rsid w:val="00843A88"/>
    <w:rsid w:val="00864A4B"/>
    <w:rsid w:val="00870F9F"/>
    <w:rsid w:val="008804B6"/>
    <w:rsid w:val="00897AB0"/>
    <w:rsid w:val="008A3553"/>
    <w:rsid w:val="009236F4"/>
    <w:rsid w:val="00A905AC"/>
    <w:rsid w:val="00AB6674"/>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35D6"/>
    <w:rsid w:val="00EA14B3"/>
    <w:rsid w:val="00EA416E"/>
    <w:rsid w:val="00EF54DF"/>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1CB5E90"/>
  <w15:chartTrackingRefBased/>
  <w15:docId w15:val="{0364E12A-80CA-49C1-A45B-3A8402F8E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3</Pages>
  <Words>897</Words>
  <Characters>6234</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9</cp:revision>
  <cp:lastPrinted>2001-02-10T14:28:00Z</cp:lastPrinted>
  <dcterms:created xsi:type="dcterms:W3CDTF">2024-11-20T06:22:00Z</dcterms:created>
  <dcterms:modified xsi:type="dcterms:W3CDTF">2024-11-20T08:12:00Z</dcterms:modified>
</cp:coreProperties>
</file>