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/>
      </w:tblPr>
      <w:tblGrid>
        <w:gridCol w:w="673"/>
        <w:gridCol w:w="3245"/>
        <w:gridCol w:w="1292"/>
        <w:gridCol w:w="2269"/>
        <w:gridCol w:w="2128"/>
        <w:gridCol w:w="1274"/>
        <w:gridCol w:w="1984"/>
        <w:gridCol w:w="2220"/>
        <w:gridCol w:w="223"/>
      </w:tblGrid>
      <w:tr w:rsidR="008966F9" w:rsidRPr="0056037C" w:rsidTr="00E84038">
        <w:trPr>
          <w:trHeight w:val="416"/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2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74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69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7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A87B41" w:rsidRPr="0056037C" w:rsidTr="00E84038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7822EF" w:rsidP="00642A0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Pompa </w:t>
            </w:r>
            <w:r w:rsidR="00E84038">
              <w:rPr>
                <w:rFonts w:ascii="Arial Narrow" w:hAnsi="Arial Narrow" w:cs="Arial"/>
                <w:b/>
                <w:sz w:val="22"/>
                <w:szCs w:val="22"/>
              </w:rPr>
              <w:t xml:space="preserve">infuzyjna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objętościowa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4C7F2D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="00CE036D" w:rsidRPr="0056037C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  <w:r w:rsidR="0034458E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Pr="0056037C" w:rsidRDefault="008A0AC9" w:rsidP="00F173A8">
      <w:pPr>
        <w:rPr>
          <w:rFonts w:ascii="Arial Narrow" w:hAnsi="Arial Narrow" w:cs="Arial"/>
          <w:b/>
          <w:sz w:val="22"/>
          <w:szCs w:val="22"/>
        </w:rPr>
      </w:pPr>
      <w:r w:rsidRPr="0056037C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/>
      </w:tblPr>
      <w:tblGrid>
        <w:gridCol w:w="723"/>
        <w:gridCol w:w="9710"/>
        <w:gridCol w:w="1949"/>
        <w:gridCol w:w="2799"/>
      </w:tblGrid>
      <w:tr w:rsidR="008A0AC9" w:rsidRPr="00E61EE5" w:rsidTr="00EF5FD9">
        <w:trPr>
          <w:cantSplit/>
          <w:trHeight w:val="146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E61EE5" w:rsidRDefault="008A0AC9" w:rsidP="00EF5F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E61EE5" w:rsidRDefault="008A0AC9" w:rsidP="00EF5F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E61EE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E61EE5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E61EE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E61EE5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E61EE5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E61EE5" w:rsidTr="00EF5FD9">
        <w:trPr>
          <w:cantSplit/>
          <w:trHeight w:hRule="exact" w:val="27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E61EE5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61EE5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FE6123" w:rsidRPr="00E61EE5" w:rsidTr="00870A83">
        <w:trPr>
          <w:cantSplit/>
          <w:trHeight w:val="95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521" w:rsidRPr="00E61EE5" w:rsidRDefault="00FE6123" w:rsidP="00B0752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Pompa objętościowa sterowana elektronicznie przeznac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zona do stosowania u dorosłych 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do tymczasowego lub ciągłego podawania roztworów pozajelitowych i dojelitowych za pośrednictwem standardowych medycznych dróg dostępu.</w:t>
            </w:r>
          </w:p>
          <w:p w:rsidR="00FE6123" w:rsidRPr="00E61EE5" w:rsidRDefault="00FE6123" w:rsidP="00B0752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Do tych dróg należą m.in.: droga dożylna, dotętnicza, podskórna, zewnątrzoponowa i dojelitowa.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36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Zasilanie 230V 50 Hz, bezpośrednio z sieci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29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Klasa ochronności II lub równoważna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39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Masa pompy gotowej do użycia poniżej 2 kg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41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Dokładność podaży +/- 3%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41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Menu pompy w języku polskim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Instrukcja obsługi zaimplemetnowana w menu pompy, ułatwiająca obsługę urządzenia podczas zakładania linii jednorazowej.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42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Stopień ochrony IP 44 lub równoważny, chroniący przed bryzgami wody z dowolnego kierunku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870A83">
        <w:trPr>
          <w:cantSplit/>
          <w:trHeight w:val="69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B07521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Kolorowy wyświetlacz 5" </w:t>
            </w:r>
            <w:r w:rsidR="00FE6123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umożliwiający pełne doty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kowe sterowanie i obsługę pompy.</w:t>
            </w:r>
            <w:r w:rsidR="00FE6123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Wysoka rozdzielczość wyświetlanych informacji, min. 800x240 punktów.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B07521">
        <w:trPr>
          <w:cantSplit/>
          <w:trHeight w:val="88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Wbudowa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ny uchwyt do przenoszenia pompy.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Możliwość łączenia pomp w moduły i przenoszenia bez użycia stacji dokującej -  3 pompy na jednym uchwyc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ie. 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Odłączalny chwyt do mocowania pompy do stojaków infuzyjnych, oraz szyn poziomych. Zakres regulacji min. 20-40mm.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B07521">
        <w:trPr>
          <w:cantSplit/>
          <w:trHeight w:val="7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Linia infuzyjna moc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owana od przodu, chroniona przez drzwiczki pompy. 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Mechanizm zabezpieczający  przed swobodnym  niekontrolowanym przepływem składający się z dwóch elementów – jeden w pompie jeden na drenie.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870A83">
        <w:trPr>
          <w:cantSplit/>
          <w:trHeight w:val="97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Dostępne linie infuzyjne do szerokiego spektrum terapii: podstawowe bezbarwne, chroniące przed światłem, do transfuzji, do terapii przeciwbólowych pracujące w systemie NRFit, do antybiotykoterapii, wielodrożne do onkologii pracujące w systemie zamkniętym, oraz dojelitowe pracujące w systemie ENFit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Zatrzaskowe mocowanie w stacji dokującej, bez konieczności przykręcania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48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Komunikacja pomiędzy pompą a stacja dokującą odbywa się za pośrednictwem IrDA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870A83">
        <w:trPr>
          <w:cantSplit/>
          <w:trHeight w:val="64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870A8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Pompa wyposażona w mod</w:t>
            </w:r>
            <w:r w:rsidR="00870A83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uł łączności bezprzewodowej WLAN umożliwiający 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podłączenie urządzenia do szpitalnego systemu informatycznego</w:t>
            </w:r>
            <w:r w:rsidR="00870A83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zdalnej aktualizacji oprogramowania pompy, oraz biblioteki leków bez konieczności przerywania pracy pompy</w:t>
            </w:r>
            <w:r w:rsidR="00870A83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45E6" w:rsidRPr="00E61EE5" w:rsidTr="00A045E6">
        <w:trPr>
          <w:cantSplit/>
          <w:trHeight w:val="148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45E6" w:rsidRPr="00E61EE5" w:rsidRDefault="00A045E6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45E6" w:rsidRPr="00A045E6" w:rsidRDefault="00A045E6" w:rsidP="00A045E6">
            <w:pPr>
              <w:spacing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045E6">
              <w:rPr>
                <w:rFonts w:ascii="Arial Narrow" w:hAnsi="Arial Narrow" w:cs="Arial"/>
                <w:color w:val="000000"/>
                <w:sz w:val="20"/>
                <w:szCs w:val="20"/>
              </w:rPr>
              <w:t>Aplikacja do zarządzania flotą urządzeń oraz topologią połączeń</w:t>
            </w:r>
            <w:r w:rsidR="00153C66">
              <w:rPr>
                <w:rFonts w:ascii="Arial Narrow" w:hAnsi="Arial Narrow" w:cs="Arial"/>
                <w:color w:val="000000"/>
                <w:sz w:val="20"/>
                <w:szCs w:val="20"/>
              </w:rPr>
              <w:t>.P</w:t>
            </w:r>
            <w:r w:rsidRPr="00A045E6">
              <w:rPr>
                <w:rFonts w:ascii="Arial Narrow" w:hAnsi="Arial Narrow" w:cs="Arial"/>
                <w:color w:val="000000"/>
                <w:sz w:val="20"/>
                <w:szCs w:val="20"/>
              </w:rPr>
              <w:t>ozwalająca na obserwację i zarządzanie stanem technicznym i danymi technicznymi urządzeń medycznych np. numer seryjny, lokalizacja, plik biblioteki leków - w ramach aplikacji (po zabezpieczonym zalogowaniu na dowolnym terminalu wpiętym do sieci szpitalnej). Możliwość dowolnej modyfikacji przez użytkownika bibliotek leków, numer</w:t>
            </w:r>
            <w:r w:rsidR="0070482A">
              <w:rPr>
                <w:rFonts w:ascii="Arial Narrow" w:hAnsi="Arial Narrow" w:cs="Arial"/>
                <w:color w:val="000000"/>
                <w:sz w:val="20"/>
                <w:szCs w:val="20"/>
              </w:rPr>
              <w:t>u</w:t>
            </w:r>
            <w:r w:rsidRPr="00A045E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inwentarz</w:t>
            </w:r>
            <w:r w:rsidR="0070482A">
              <w:rPr>
                <w:rFonts w:ascii="Arial Narrow" w:hAnsi="Arial Narrow" w:cs="Arial"/>
                <w:color w:val="000000"/>
                <w:sz w:val="20"/>
                <w:szCs w:val="20"/>
              </w:rPr>
              <w:t>owego</w:t>
            </w:r>
            <w:r w:rsidRPr="00A045E6">
              <w:rPr>
                <w:rFonts w:ascii="Arial Narrow" w:hAnsi="Arial Narrow" w:cs="Arial"/>
                <w:color w:val="000000"/>
                <w:sz w:val="20"/>
                <w:szCs w:val="20"/>
              </w:rPr>
              <w:t>. Dodatkowo aplikacja oferująca funkcję zdalnej aktualizacji (również bezprzewodowo), tzn. przesyłania plików (np: firmware, biblioteki leków, pliki konfiguracyjne) pomiędzy platformą a podłączonymi do niej urządzeniami medycznymi.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45E6" w:rsidRPr="00E61EE5" w:rsidRDefault="00A045E6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45E6" w:rsidRPr="00E61EE5" w:rsidRDefault="00A045E6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Zakres prędkości infuzji min. 0,1 do 1200 ml/h. Zmiana prędkości podaży bez przerywania infuzji.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Wstępnie wybierana objętość w zakresie 0,10 - 9999 ml , w zakresie 0,01 ml — 99,99 ml programowana w krokach co 0,01 ml.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Wstępnie wybierany c</w:t>
            </w:r>
            <w:r w:rsidR="00611F87">
              <w:rPr>
                <w:rFonts w:ascii="Arial Narrow" w:hAnsi="Arial Narrow" w:cs="Arial"/>
                <w:color w:val="000000"/>
                <w:sz w:val="20"/>
                <w:szCs w:val="20"/>
              </w:rPr>
              <w:t>zas w zakresie 00h 01min - 99h 5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9min.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Automatyczna kalkulacja prędkości podaży po wprowadzeniu objętości i czasu.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programowania parametrów infuzji w mg, mcg, ng, IE, mmol, lub mEq, z uwzględnieniem lub nie masy ciała w odniesieniu do czasu ( np. mg/kg/min; mg/kg/h; mg/kg/24h).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Pompa wyposażona w system redukcji błędów dawki.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System automatycznej redukcji bolusa po alarmie ciśnienia okluzji.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Bolus: Prędkość bolusa możliwa do zaprogramowania w zakresie1-1200 ml/h.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9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Tryby bolusa: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bolus na żądanie,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bolus programowany z automatyczną kalkulacją prędkości po wprowadzeniu objętości i czasu.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podaży bolusa w jednostkach mg, mcg, mmol, mEq oraz jednostkach wagowych.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Tryb stand-by w zakresie od 1 min do 24 godzin z programowaniem co 1 minutę.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Regulacja intensywności podświetlenia na 9 poziomach.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63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Biblioteka leków z możliwością wpisu min.10 000 leków, z możliwością podzielenia na min. 30 kategorii i 15 profili pacjentów.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54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Każdy lek może być powiązany z limitami miękkimi, z limitami twardymi, oraz kolorowymi etykietami - min. 30 kombinacji kolorystycznych.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42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Nazwa leku stale widoczna na wyświetlaczu pompy, również po wystąpieniu dowolnego alarmu.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6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wprowadzenia do pompy biblioteki leków bezpośrednio z komputera, lub zdalnie poprzez sieć szpitalną z centralnego serwera.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67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Ciśnienie okluzji możliwe do ustawienia na min. 9 poziomach w zakresie od 50 do 825 mmHg.</w:t>
            </w:r>
          </w:p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Wskaźnik ciśnienia okluzji stale widoczny na wyświetlaczu pompy.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148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Wbudowany akumulator litowo – jonowy: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zasilanie z wbudowanego akumulatora ok. 6 godz. przy przepływie 100 ml/h, 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czas ponownego ładowania ok. 5 godz., 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na wyświetlaczu widoczna precyzyjna informacja o pozostałym czasie pracy akumulatora w godzinach i minutach,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automatyczne ładowanie akumulatora w pompie podłączonej do zasilania sieciowego,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36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Pobór mocy w normalnych warunkach pracy ok. 6 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42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Rozbudowany system alarmów wizualnych i dźwiękowych.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40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Czułość techniczna wykrywania pęcherzyków powietrza≥ 0.01 mL.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42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Historia pracy dostępna z menu pompy, z możliwością zapisania do 1000 zdarzeń.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69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wprowadzenia informacji o dacie następnego przeglądu technicznego i wyświetlania jej przy każdym uruchomieniu pompy.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72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B07521" w:rsidP="00FE6123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 xml:space="preserve">Stojak na postawie jezdnej </w:t>
            </w:r>
            <w:r w:rsidR="006A3B11" w:rsidRPr="00E61EE5">
              <w:rPr>
                <w:rFonts w:ascii="Arial Narrow" w:hAnsi="Arial Narrow" w:cs="Arial"/>
                <w:sz w:val="20"/>
                <w:szCs w:val="20"/>
              </w:rPr>
              <w:t>z czteroma haczykami na płyny</w:t>
            </w:r>
            <w:r w:rsidR="00CC532A" w:rsidRPr="00E61EE5">
              <w:rPr>
                <w:rFonts w:ascii="Arial Narrow" w:hAnsi="Arial Narrow" w:cs="Arial"/>
                <w:sz w:val="20"/>
                <w:szCs w:val="20"/>
              </w:rPr>
              <w:t xml:space="preserve"> wraz z listwą zasilającą</w:t>
            </w:r>
            <w:r w:rsidR="006A3B11" w:rsidRPr="00E61EE5">
              <w:rPr>
                <w:rFonts w:ascii="Arial Narrow" w:hAnsi="Arial Narrow" w:cs="Arial"/>
                <w:sz w:val="20"/>
                <w:szCs w:val="20"/>
              </w:rPr>
              <w:t xml:space="preserve"> do zaoferowanych pomp </w:t>
            </w:r>
            <w:r w:rsidR="00186813" w:rsidRPr="00E61EE5">
              <w:rPr>
                <w:rFonts w:ascii="Arial Narrow" w:hAnsi="Arial Narrow" w:cs="Arial"/>
                <w:sz w:val="20"/>
                <w:szCs w:val="20"/>
              </w:rPr>
              <w:t xml:space="preserve">infuzyjnych </w:t>
            </w:r>
            <w:r w:rsidR="006A3B11" w:rsidRPr="00E61EE5">
              <w:rPr>
                <w:rFonts w:ascii="Arial Narrow" w:hAnsi="Arial Narrow" w:cs="Arial"/>
                <w:sz w:val="20"/>
                <w:szCs w:val="20"/>
              </w:rPr>
              <w:t>objętoś</w:t>
            </w:r>
            <w:r w:rsidR="004F7CE7">
              <w:rPr>
                <w:rFonts w:ascii="Arial Narrow" w:hAnsi="Arial Narrow" w:cs="Arial"/>
                <w:sz w:val="20"/>
                <w:szCs w:val="20"/>
              </w:rPr>
              <w:t>ciowych  – 4</w:t>
            </w:r>
            <w:bookmarkStart w:id="0" w:name="_GoBack"/>
            <w:bookmarkEnd w:id="0"/>
            <w:r w:rsidR="00870A83" w:rsidRPr="00E61EE5">
              <w:rPr>
                <w:rFonts w:ascii="Arial Narrow" w:hAnsi="Arial Narrow" w:cs="Arial"/>
                <w:sz w:val="20"/>
                <w:szCs w:val="20"/>
              </w:rPr>
              <w:t xml:space="preserve"> szt.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E61EE5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FE6123" w:rsidRPr="00E61EE5" w:rsidTr="000800BE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</w:t>
            </w:r>
            <w:r w:rsidR="0022696F">
              <w:rPr>
                <w:rFonts w:ascii="Arial Narrow" w:hAnsi="Arial Narrow" w:cs="Arial"/>
                <w:spacing w:val="-1"/>
                <w:sz w:val="20"/>
                <w:szCs w:val="20"/>
              </w:rPr>
              <w:t>ie nowe, rok produkcji 2024</w:t>
            </w:r>
            <w:r w:rsidRPr="00E61EE5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0800BE">
        <w:trPr>
          <w:cantSplit/>
          <w:trHeight w:val="61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autoSpaceDE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1"/>
      <w:tr w:rsidR="0056412B" w:rsidRPr="00E61EE5" w:rsidTr="00F73106">
        <w:trPr>
          <w:cantSplit/>
          <w:trHeight w:val="92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56412B" w:rsidRPr="00E61EE5" w:rsidRDefault="0056412B" w:rsidP="0056412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-dokonaniainstalacjiwewskazanymmiejscuprzezzamawiającego,</w:t>
            </w:r>
          </w:p>
          <w:p w:rsidR="0056412B" w:rsidRPr="00E61EE5" w:rsidRDefault="0056412B" w:rsidP="0056412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-dokonaniaszkoleniawzakresieobsługiprzedmiotuzamówienia.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412B" w:rsidRPr="00E61EE5" w:rsidTr="00F73106">
        <w:trPr>
          <w:cantSplit/>
          <w:trHeight w:hRule="exact" w:val="43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56412B" w:rsidRPr="00E61EE5" w:rsidTr="000800BE">
        <w:trPr>
          <w:cantSplit/>
          <w:trHeight w:hRule="exact" w:val="65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56412B" w:rsidRPr="00E61EE5" w:rsidRDefault="0056412B" w:rsidP="0056412B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5A469B">
        <w:trPr>
          <w:cantSplit/>
          <w:trHeight w:hRule="exact" w:val="63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41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91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5A469B">
        <w:trPr>
          <w:cantSplit/>
          <w:trHeight w:hRule="exact" w:val="63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5A469B">
        <w:trPr>
          <w:cantSplit/>
          <w:trHeight w:hRule="exact" w:val="71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0800BE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0D8" w:rsidRDefault="002F50D8">
      <w:r>
        <w:separator/>
      </w:r>
    </w:p>
  </w:endnote>
  <w:endnote w:type="continuationSeparator" w:id="1">
    <w:p w:rsidR="002F50D8" w:rsidRDefault="002F5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332A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5DF6" w:rsidRDefault="00AB5DF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332AB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2DF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5DF6" w:rsidRPr="00A208F1" w:rsidRDefault="00AB5DF6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0D8" w:rsidRDefault="002F50D8">
      <w:r>
        <w:rPr>
          <w:color w:val="000000"/>
        </w:rPr>
        <w:separator/>
      </w:r>
    </w:p>
  </w:footnote>
  <w:footnote w:type="continuationSeparator" w:id="1">
    <w:p w:rsidR="002F50D8" w:rsidRDefault="002F5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AB5DF6" w:rsidP="00062DFD">
    <w:pPr>
      <w:pStyle w:val="Nagwek"/>
      <w:tabs>
        <w:tab w:val="clear" w:pos="4536"/>
        <w:tab w:val="clear" w:pos="9072"/>
        <w:tab w:val="left" w:pos="12337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62DFD">
      <w:rPr>
        <w:rFonts w:ascii="Arial Narrow" w:hAnsi="Arial Narrow"/>
        <w:sz w:val="22"/>
      </w:rPr>
      <w:t>15/2025</w:t>
    </w:r>
    <w:r w:rsidR="00062DFD">
      <w:rPr>
        <w:rFonts w:ascii="Arial Narrow" w:hAnsi="Arial Narrow"/>
        <w:sz w:val="22"/>
      </w:rPr>
      <w:tab/>
      <w:t xml:space="preserve">               Załącznik nr 6J do SWZ</w:t>
    </w:r>
  </w:p>
  <w:p w:rsidR="00AB5DF6" w:rsidRPr="001F32C3" w:rsidRDefault="00AB5DF6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2E5136"/>
    <w:multiLevelType w:val="hybridMultilevel"/>
    <w:tmpl w:val="C58AEF8C"/>
    <w:lvl w:ilvl="0" w:tplc="04150001">
      <w:start w:val="1"/>
      <w:numFmt w:val="bullet"/>
      <w:lvlText w:val=""/>
      <w:lvlJc w:val="left"/>
      <w:pPr>
        <w:ind w:left="8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3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6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A630C7"/>
    <w:multiLevelType w:val="hybridMultilevel"/>
    <w:tmpl w:val="202C7F76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2C5949"/>
    <w:multiLevelType w:val="hybridMultilevel"/>
    <w:tmpl w:val="2896547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>
    <w:nsid w:val="52CD536C"/>
    <w:multiLevelType w:val="hybridMultilevel"/>
    <w:tmpl w:val="3F505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122886"/>
    <w:multiLevelType w:val="multilevel"/>
    <w:tmpl w:val="093C973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1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19"/>
  </w:num>
  <w:num w:numId="4">
    <w:abstractNumId w:val="0"/>
  </w:num>
  <w:num w:numId="5">
    <w:abstractNumId w:val="10"/>
  </w:num>
  <w:num w:numId="6">
    <w:abstractNumId w:val="4"/>
  </w:num>
  <w:num w:numId="7">
    <w:abstractNumId w:val="8"/>
  </w:num>
  <w:num w:numId="8">
    <w:abstractNumId w:val="18"/>
  </w:num>
  <w:num w:numId="9">
    <w:abstractNumId w:val="1"/>
  </w:num>
  <w:num w:numId="10">
    <w:abstractNumId w:val="7"/>
  </w:num>
  <w:num w:numId="11">
    <w:abstractNumId w:val="11"/>
  </w:num>
  <w:num w:numId="12">
    <w:abstractNumId w:val="6"/>
  </w:num>
  <w:num w:numId="13">
    <w:abstractNumId w:val="22"/>
  </w:num>
  <w:num w:numId="14">
    <w:abstractNumId w:val="3"/>
  </w:num>
  <w:num w:numId="15">
    <w:abstractNumId w:val="12"/>
  </w:num>
  <w:num w:numId="16">
    <w:abstractNumId w:val="13"/>
  </w:num>
  <w:num w:numId="17">
    <w:abstractNumId w:val="15"/>
  </w:num>
  <w:num w:numId="18">
    <w:abstractNumId w:val="5"/>
  </w:num>
  <w:num w:numId="19">
    <w:abstractNumId w:val="14"/>
  </w:num>
  <w:num w:numId="20">
    <w:abstractNumId w:val="2"/>
  </w:num>
  <w:num w:numId="21">
    <w:abstractNumId w:val="9"/>
  </w:num>
  <w:num w:numId="22">
    <w:abstractNumId w:val="17"/>
  </w:num>
  <w:num w:numId="23">
    <w:abstractNumId w:val="1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2DFD"/>
    <w:rsid w:val="000643A6"/>
    <w:rsid w:val="00066072"/>
    <w:rsid w:val="00071B78"/>
    <w:rsid w:val="00075377"/>
    <w:rsid w:val="000800BE"/>
    <w:rsid w:val="00081364"/>
    <w:rsid w:val="00083220"/>
    <w:rsid w:val="00086D07"/>
    <w:rsid w:val="00097B2C"/>
    <w:rsid w:val="000A223F"/>
    <w:rsid w:val="000A45EE"/>
    <w:rsid w:val="000A5991"/>
    <w:rsid w:val="000B0FE3"/>
    <w:rsid w:val="000B136D"/>
    <w:rsid w:val="000C4713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34158"/>
    <w:rsid w:val="00140585"/>
    <w:rsid w:val="00141F81"/>
    <w:rsid w:val="00142D97"/>
    <w:rsid w:val="00144540"/>
    <w:rsid w:val="00145250"/>
    <w:rsid w:val="00153B9E"/>
    <w:rsid w:val="00153C66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86813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696F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703"/>
    <w:rsid w:val="00281F63"/>
    <w:rsid w:val="00282F22"/>
    <w:rsid w:val="0029253A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0D8"/>
    <w:rsid w:val="002F5829"/>
    <w:rsid w:val="0030565A"/>
    <w:rsid w:val="00314FDF"/>
    <w:rsid w:val="00321E03"/>
    <w:rsid w:val="0032273F"/>
    <w:rsid w:val="00322F6B"/>
    <w:rsid w:val="00325B86"/>
    <w:rsid w:val="00332AB0"/>
    <w:rsid w:val="00333637"/>
    <w:rsid w:val="003338F3"/>
    <w:rsid w:val="00335117"/>
    <w:rsid w:val="00336732"/>
    <w:rsid w:val="003403D8"/>
    <w:rsid w:val="0034458E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28CE"/>
    <w:rsid w:val="00445496"/>
    <w:rsid w:val="00445517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1D2C"/>
    <w:rsid w:val="004B29F9"/>
    <w:rsid w:val="004B46CE"/>
    <w:rsid w:val="004B5132"/>
    <w:rsid w:val="004B5C02"/>
    <w:rsid w:val="004B64D9"/>
    <w:rsid w:val="004C3AB9"/>
    <w:rsid w:val="004C7F2D"/>
    <w:rsid w:val="004D0446"/>
    <w:rsid w:val="004D1132"/>
    <w:rsid w:val="004D25EB"/>
    <w:rsid w:val="004D33B4"/>
    <w:rsid w:val="004D3727"/>
    <w:rsid w:val="004D4DF0"/>
    <w:rsid w:val="004E1F74"/>
    <w:rsid w:val="004F30AF"/>
    <w:rsid w:val="004F7CE7"/>
    <w:rsid w:val="00501BF3"/>
    <w:rsid w:val="00504687"/>
    <w:rsid w:val="0051031F"/>
    <w:rsid w:val="0052129D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037C"/>
    <w:rsid w:val="005634B5"/>
    <w:rsid w:val="0056412B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A469B"/>
    <w:rsid w:val="005B2A1C"/>
    <w:rsid w:val="005B4B7A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09C6"/>
    <w:rsid w:val="006017F8"/>
    <w:rsid w:val="0060197A"/>
    <w:rsid w:val="006034BE"/>
    <w:rsid w:val="006038A3"/>
    <w:rsid w:val="00607CC8"/>
    <w:rsid w:val="00611F87"/>
    <w:rsid w:val="00612810"/>
    <w:rsid w:val="00615F28"/>
    <w:rsid w:val="00616202"/>
    <w:rsid w:val="00616E6E"/>
    <w:rsid w:val="00622E77"/>
    <w:rsid w:val="00623E44"/>
    <w:rsid w:val="0062446B"/>
    <w:rsid w:val="00630CA6"/>
    <w:rsid w:val="006323F6"/>
    <w:rsid w:val="006336D8"/>
    <w:rsid w:val="00642A06"/>
    <w:rsid w:val="00645BE5"/>
    <w:rsid w:val="00647998"/>
    <w:rsid w:val="006501DA"/>
    <w:rsid w:val="006550A3"/>
    <w:rsid w:val="00660996"/>
    <w:rsid w:val="006728DC"/>
    <w:rsid w:val="006739C9"/>
    <w:rsid w:val="00681BBF"/>
    <w:rsid w:val="00690B2B"/>
    <w:rsid w:val="006929F3"/>
    <w:rsid w:val="006956B7"/>
    <w:rsid w:val="006965C8"/>
    <w:rsid w:val="0069795F"/>
    <w:rsid w:val="006A1B48"/>
    <w:rsid w:val="006A2987"/>
    <w:rsid w:val="006A39F3"/>
    <w:rsid w:val="006A3B11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6B71"/>
    <w:rsid w:val="006E771C"/>
    <w:rsid w:val="006F6DF5"/>
    <w:rsid w:val="006F6EE2"/>
    <w:rsid w:val="00703787"/>
    <w:rsid w:val="0070482A"/>
    <w:rsid w:val="00705D43"/>
    <w:rsid w:val="00725F09"/>
    <w:rsid w:val="007315B7"/>
    <w:rsid w:val="007463AA"/>
    <w:rsid w:val="00752906"/>
    <w:rsid w:val="007535BC"/>
    <w:rsid w:val="00761384"/>
    <w:rsid w:val="00763AA6"/>
    <w:rsid w:val="007662C8"/>
    <w:rsid w:val="007679EE"/>
    <w:rsid w:val="00767E18"/>
    <w:rsid w:val="00781148"/>
    <w:rsid w:val="007822EF"/>
    <w:rsid w:val="007875F5"/>
    <w:rsid w:val="00791535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0A8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3186"/>
    <w:rsid w:val="00935942"/>
    <w:rsid w:val="00943B50"/>
    <w:rsid w:val="0094548D"/>
    <w:rsid w:val="00945FDE"/>
    <w:rsid w:val="0094652C"/>
    <w:rsid w:val="0095798C"/>
    <w:rsid w:val="00961CE7"/>
    <w:rsid w:val="00963F13"/>
    <w:rsid w:val="009658DC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A6089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045E6"/>
    <w:rsid w:val="00A12558"/>
    <w:rsid w:val="00A12CEB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12F9"/>
    <w:rsid w:val="00A83E02"/>
    <w:rsid w:val="00A85F79"/>
    <w:rsid w:val="00A87B41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B5DF6"/>
    <w:rsid w:val="00AC3B8C"/>
    <w:rsid w:val="00AD45F9"/>
    <w:rsid w:val="00AD56ED"/>
    <w:rsid w:val="00AD6081"/>
    <w:rsid w:val="00AE237A"/>
    <w:rsid w:val="00AE2DFB"/>
    <w:rsid w:val="00AF061A"/>
    <w:rsid w:val="00AF37F6"/>
    <w:rsid w:val="00AF5745"/>
    <w:rsid w:val="00AF6104"/>
    <w:rsid w:val="00B004E2"/>
    <w:rsid w:val="00B0660C"/>
    <w:rsid w:val="00B07521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0646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532A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024C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36010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0B2E"/>
    <w:rsid w:val="00D928B1"/>
    <w:rsid w:val="00D97EF7"/>
    <w:rsid w:val="00DA037A"/>
    <w:rsid w:val="00DA03A8"/>
    <w:rsid w:val="00DA5828"/>
    <w:rsid w:val="00DA68C3"/>
    <w:rsid w:val="00DB3BBD"/>
    <w:rsid w:val="00DB3C40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476"/>
    <w:rsid w:val="00E13082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1EE5"/>
    <w:rsid w:val="00E62341"/>
    <w:rsid w:val="00E62A14"/>
    <w:rsid w:val="00E634BA"/>
    <w:rsid w:val="00E70F27"/>
    <w:rsid w:val="00E7132C"/>
    <w:rsid w:val="00E723E9"/>
    <w:rsid w:val="00E7251D"/>
    <w:rsid w:val="00E807DC"/>
    <w:rsid w:val="00E82014"/>
    <w:rsid w:val="00E84038"/>
    <w:rsid w:val="00E86748"/>
    <w:rsid w:val="00E86757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19A8"/>
    <w:rsid w:val="00EE375D"/>
    <w:rsid w:val="00EF0701"/>
    <w:rsid w:val="00EF5FD9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11DE"/>
    <w:rsid w:val="00F336D4"/>
    <w:rsid w:val="00F35CFC"/>
    <w:rsid w:val="00F362D2"/>
    <w:rsid w:val="00F46105"/>
    <w:rsid w:val="00F51B8F"/>
    <w:rsid w:val="00F52C0F"/>
    <w:rsid w:val="00F62471"/>
    <w:rsid w:val="00F65821"/>
    <w:rsid w:val="00F72901"/>
    <w:rsid w:val="00F73106"/>
    <w:rsid w:val="00F767B4"/>
    <w:rsid w:val="00F80DE9"/>
    <w:rsid w:val="00F82DEF"/>
    <w:rsid w:val="00F87472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123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D96DB-465B-4F8F-A1DE-2F35E75C1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1079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71</cp:revision>
  <cp:lastPrinted>2024-11-29T07:43:00Z</cp:lastPrinted>
  <dcterms:created xsi:type="dcterms:W3CDTF">2023-02-24T11:37:00Z</dcterms:created>
  <dcterms:modified xsi:type="dcterms:W3CDTF">2025-02-17T09:20:00Z</dcterms:modified>
</cp:coreProperties>
</file>