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3078C51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EA54ED">
        <w:rPr>
          <w:b/>
          <w:sz w:val="22"/>
          <w:szCs w:val="22"/>
        </w:rPr>
        <w:t>15</w:t>
      </w:r>
      <w:r w:rsidR="00916A1E" w:rsidRPr="00916A1E">
        <w:rPr>
          <w:b/>
          <w:sz w:val="22"/>
          <w:szCs w:val="22"/>
        </w:rPr>
        <w:t>/202</w:t>
      </w:r>
      <w:r w:rsidR="00EA54ED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66AF23F1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>z dnia 11 września 2019 r.  Prawo zamówień publicznych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242CD333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4052FB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C520CD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6DAFEF23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348DE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046B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8032C1"/>
    <w:rsid w:val="008122DE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03F50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B04D14"/>
    <w:rsid w:val="00B26102"/>
    <w:rsid w:val="00B45ED4"/>
    <w:rsid w:val="00B54FB4"/>
    <w:rsid w:val="00BE6092"/>
    <w:rsid w:val="00BF4FC6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A54ED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16</cp:revision>
  <cp:lastPrinted>2024-09-17T10:09:00Z</cp:lastPrinted>
  <dcterms:created xsi:type="dcterms:W3CDTF">2021-07-06T08:08:00Z</dcterms:created>
  <dcterms:modified xsi:type="dcterms:W3CDTF">2025-03-19T11:05:00Z</dcterms:modified>
</cp:coreProperties>
</file>