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26F10B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antyseptycznych i dezynfekujących do skóry i błon śluzowych </w:t>
      </w:r>
      <w:r w:rsidR="00C2206C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8630A">
        <w:rPr>
          <w:rFonts w:ascii="Arial" w:hAnsi="Arial" w:cs="Arial"/>
          <w:b/>
          <w:bCs/>
          <w:sz w:val="21"/>
          <w:szCs w:val="21"/>
        </w:rPr>
        <w:t>13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8630A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7225CC8F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386B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433E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1DB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6AD7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1EB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206C"/>
    <w:rsid w:val="00C30F5F"/>
    <w:rsid w:val="00C36F7A"/>
    <w:rsid w:val="00C4103F"/>
    <w:rsid w:val="00C46F97"/>
    <w:rsid w:val="00C521CD"/>
    <w:rsid w:val="00C57DEB"/>
    <w:rsid w:val="00C81012"/>
    <w:rsid w:val="00C81278"/>
    <w:rsid w:val="00C8630A"/>
    <w:rsid w:val="00CA518D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734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13</cp:revision>
  <cp:lastPrinted>2016-07-26T10:32:00Z</cp:lastPrinted>
  <dcterms:created xsi:type="dcterms:W3CDTF">2022-05-09T10:10:00Z</dcterms:created>
  <dcterms:modified xsi:type="dcterms:W3CDTF">2025-03-19T12:25:00Z</dcterms:modified>
</cp:coreProperties>
</file>