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092B17" w:rsidRDefault="004C54C5" w:rsidP="00092B17">
      <w:pPr>
        <w:rPr>
          <w:rFonts w:ascii="Arial Narrow" w:hAnsi="Arial Narrow" w:cs="Arial"/>
          <w:sz w:val="22"/>
          <w:szCs w:val="24"/>
        </w:rPr>
      </w:pPr>
      <w:r w:rsidRPr="00092B17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092B17" w:rsidRPr="00092B17">
        <w:rPr>
          <w:rFonts w:ascii="Arial Narrow" w:hAnsi="Arial Narrow" w:cs="Arial"/>
          <w:sz w:val="22"/>
          <w:szCs w:val="24"/>
        </w:rPr>
        <w:t xml:space="preserve"> </w:t>
      </w:r>
      <w:r w:rsidR="00092B17">
        <w:rPr>
          <w:rFonts w:ascii="Arial Narrow" w:hAnsi="Arial Narrow" w:cs="Arial"/>
          <w:sz w:val="22"/>
          <w:szCs w:val="24"/>
        </w:rPr>
        <w:tab/>
      </w:r>
      <w:r w:rsidR="00092B17">
        <w:rPr>
          <w:rFonts w:ascii="Arial Narrow" w:hAnsi="Arial Narrow" w:cs="Arial"/>
          <w:sz w:val="22"/>
          <w:szCs w:val="24"/>
        </w:rPr>
        <w:tab/>
      </w:r>
      <w:r w:rsidR="00092B17">
        <w:rPr>
          <w:rFonts w:ascii="Arial Narrow" w:hAnsi="Arial Narrow" w:cs="Arial"/>
          <w:sz w:val="22"/>
          <w:szCs w:val="24"/>
        </w:rPr>
        <w:tab/>
      </w:r>
      <w:r w:rsidR="00092B17">
        <w:rPr>
          <w:rFonts w:ascii="Arial Narrow" w:hAnsi="Arial Narrow" w:cs="Arial"/>
          <w:sz w:val="22"/>
          <w:szCs w:val="24"/>
        </w:rPr>
        <w:tab/>
      </w:r>
      <w:r w:rsidR="00092B17">
        <w:rPr>
          <w:rFonts w:ascii="Arial Narrow" w:hAnsi="Arial Narrow" w:cs="Arial"/>
          <w:sz w:val="22"/>
          <w:szCs w:val="24"/>
        </w:rPr>
        <w:tab/>
      </w:r>
      <w:r w:rsidR="00092B17">
        <w:rPr>
          <w:rFonts w:ascii="Arial Narrow" w:hAnsi="Arial Narrow" w:cs="Arial"/>
          <w:sz w:val="22"/>
          <w:szCs w:val="24"/>
        </w:rPr>
        <w:tab/>
      </w:r>
      <w:r w:rsidR="00092B17" w:rsidRPr="00092B17">
        <w:rPr>
          <w:rFonts w:ascii="Arial Narrow" w:hAnsi="Arial Narrow" w:cs="Arial"/>
          <w:sz w:val="22"/>
          <w:szCs w:val="24"/>
        </w:rPr>
        <w:t>Bydgoszcz dnia: 2025-04-2</w:t>
      </w:r>
      <w:r w:rsidR="00984531">
        <w:rPr>
          <w:rFonts w:ascii="Arial Narrow" w:hAnsi="Arial Narrow" w:cs="Arial"/>
          <w:sz w:val="22"/>
          <w:szCs w:val="24"/>
        </w:rPr>
        <w:t>5</w:t>
      </w:r>
    </w:p>
    <w:p w:rsidR="00843A88" w:rsidRPr="00092B17" w:rsidRDefault="004C54C5" w:rsidP="00092B17">
      <w:pPr>
        <w:rPr>
          <w:rFonts w:ascii="Arial Narrow" w:hAnsi="Arial Narrow" w:cs="Arial"/>
          <w:sz w:val="22"/>
          <w:szCs w:val="24"/>
        </w:rPr>
      </w:pPr>
      <w:r w:rsidRPr="00092B17">
        <w:rPr>
          <w:rFonts w:ascii="Arial Narrow" w:hAnsi="Arial Narrow" w:cs="Arial"/>
          <w:sz w:val="22"/>
          <w:szCs w:val="24"/>
        </w:rPr>
        <w:t>Powstańców Warszawy</w:t>
      </w:r>
      <w:r w:rsidR="00843A88" w:rsidRPr="00092B17">
        <w:rPr>
          <w:rFonts w:ascii="Arial Narrow" w:hAnsi="Arial Narrow" w:cs="Arial"/>
          <w:sz w:val="22"/>
          <w:szCs w:val="24"/>
        </w:rPr>
        <w:t xml:space="preserve"> </w:t>
      </w:r>
      <w:r w:rsidRPr="00092B17">
        <w:rPr>
          <w:rFonts w:ascii="Arial Narrow" w:hAnsi="Arial Narrow" w:cs="Arial"/>
          <w:sz w:val="22"/>
          <w:szCs w:val="24"/>
        </w:rPr>
        <w:t>5</w:t>
      </w:r>
    </w:p>
    <w:p w:rsidR="00843A88" w:rsidRDefault="004C54C5" w:rsidP="00092B17">
      <w:pPr>
        <w:rPr>
          <w:rFonts w:ascii="Arial Narrow" w:hAnsi="Arial Narrow" w:cs="Arial"/>
          <w:sz w:val="22"/>
          <w:szCs w:val="24"/>
        </w:rPr>
      </w:pPr>
      <w:r w:rsidRPr="00092B17">
        <w:rPr>
          <w:rFonts w:ascii="Arial Narrow" w:hAnsi="Arial Narrow" w:cs="Arial"/>
          <w:sz w:val="22"/>
          <w:szCs w:val="24"/>
        </w:rPr>
        <w:t>85-681</w:t>
      </w:r>
      <w:r w:rsidR="00843A88" w:rsidRPr="00092B17">
        <w:rPr>
          <w:rFonts w:ascii="Arial Narrow" w:hAnsi="Arial Narrow" w:cs="Arial"/>
          <w:sz w:val="22"/>
          <w:szCs w:val="24"/>
        </w:rPr>
        <w:t xml:space="preserve"> </w:t>
      </w:r>
      <w:r w:rsidRPr="00092B17">
        <w:rPr>
          <w:rFonts w:ascii="Arial Narrow" w:hAnsi="Arial Narrow" w:cs="Arial"/>
          <w:sz w:val="22"/>
          <w:szCs w:val="24"/>
        </w:rPr>
        <w:t>Bydgoszcz</w:t>
      </w:r>
    </w:p>
    <w:p w:rsidR="00092B17" w:rsidRDefault="00092B17" w:rsidP="00092B17">
      <w:pPr>
        <w:rPr>
          <w:rFonts w:ascii="Arial Narrow" w:hAnsi="Arial Narrow" w:cs="Arial"/>
          <w:sz w:val="22"/>
          <w:szCs w:val="24"/>
        </w:rPr>
      </w:pPr>
    </w:p>
    <w:p w:rsidR="00092B17" w:rsidRDefault="00092B17" w:rsidP="00092B17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</w:t>
      </w:r>
      <w:r w:rsidR="00966D7A">
        <w:rPr>
          <w:rFonts w:ascii="Arial Narrow" w:hAnsi="Arial Narrow" w:cs="Arial"/>
          <w:b/>
          <w:sz w:val="22"/>
          <w:szCs w:val="24"/>
        </w:rPr>
        <w:t xml:space="preserve"> 3414/25</w:t>
      </w:r>
    </w:p>
    <w:p w:rsidR="00092B17" w:rsidRPr="00092B17" w:rsidRDefault="00092B17" w:rsidP="00092B17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37/2025</w:t>
      </w:r>
    </w:p>
    <w:p w:rsidR="00843A88" w:rsidRPr="00092B1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092B17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092B1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092B17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092B17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092B17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092B17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092B17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/>
      </w:tblPr>
      <w:tblGrid>
        <w:gridCol w:w="2269"/>
        <w:gridCol w:w="6803"/>
        <w:gridCol w:w="106"/>
      </w:tblGrid>
      <w:tr w:rsidR="004E4B64" w:rsidRPr="00092B17" w:rsidTr="006007E2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4E4B64" w:rsidRPr="00092B1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092B17" w:rsidRDefault="004C54C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bCs/>
                <w:sz w:val="22"/>
                <w:szCs w:val="24"/>
              </w:rPr>
              <w:t>Dostawa sprzętu medycznego</w:t>
            </w:r>
            <w:r w:rsidR="004E4B64" w:rsidRPr="00092B17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4C54C5" w:rsidRPr="00092B17" w:rsidTr="006007E2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4C54C5" w:rsidRPr="00092B17" w:rsidRDefault="004C54C5" w:rsidP="007E09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C54C5" w:rsidRPr="00092B17" w:rsidRDefault="004C54C5" w:rsidP="007E09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bCs/>
                <w:sz w:val="22"/>
                <w:szCs w:val="24"/>
              </w:rPr>
              <w:t>37/2025</w:t>
            </w:r>
          </w:p>
        </w:tc>
      </w:tr>
      <w:tr w:rsidR="00843A88" w:rsidRPr="00092B17" w:rsidTr="006007E2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843A88" w:rsidRPr="00092B17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092B17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092B17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092B17">
        <w:rPr>
          <w:rFonts w:ascii="Arial Narrow" w:hAnsi="Arial Narrow" w:cs="Arial"/>
          <w:sz w:val="22"/>
          <w:szCs w:val="24"/>
        </w:rPr>
        <w:t xml:space="preserve">Zamawiający, </w:t>
      </w:r>
      <w:r w:rsidR="004C54C5" w:rsidRPr="00092B17">
        <w:rPr>
          <w:rFonts w:ascii="Arial Narrow" w:hAnsi="Arial Narrow" w:cs="Arial"/>
          <w:b/>
          <w:sz w:val="22"/>
          <w:szCs w:val="24"/>
        </w:rPr>
        <w:t>10WSzKzP SPZOZ</w:t>
      </w:r>
      <w:r w:rsidRPr="00092B17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092B17">
        <w:rPr>
          <w:rFonts w:ascii="Arial Narrow" w:hAnsi="Arial Narrow" w:cs="Arial"/>
          <w:sz w:val="22"/>
          <w:szCs w:val="24"/>
        </w:rPr>
        <w:t>284</w:t>
      </w:r>
      <w:r w:rsidRPr="00092B17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092B17">
        <w:rPr>
          <w:rFonts w:ascii="Arial Narrow" w:hAnsi="Arial Narrow" w:cs="Arial"/>
          <w:sz w:val="22"/>
          <w:szCs w:val="24"/>
        </w:rPr>
        <w:t>6</w:t>
      </w:r>
      <w:r w:rsidRPr="00092B17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092B17">
        <w:rPr>
          <w:rFonts w:ascii="Arial Narrow" w:hAnsi="Arial Narrow" w:cs="Arial"/>
          <w:sz w:val="22"/>
          <w:szCs w:val="24"/>
        </w:rPr>
        <w:t>11</w:t>
      </w:r>
      <w:r w:rsidRPr="00092B17">
        <w:rPr>
          <w:rFonts w:ascii="Arial Narrow" w:hAnsi="Arial Narrow" w:cs="Arial"/>
          <w:sz w:val="22"/>
          <w:szCs w:val="24"/>
        </w:rPr>
        <w:t xml:space="preserve"> </w:t>
      </w:r>
      <w:r w:rsidR="0029606A" w:rsidRPr="00092B17">
        <w:rPr>
          <w:rFonts w:ascii="Arial Narrow" w:hAnsi="Arial Narrow" w:cs="Arial"/>
          <w:sz w:val="22"/>
          <w:szCs w:val="24"/>
        </w:rPr>
        <w:t xml:space="preserve">września </w:t>
      </w:r>
      <w:r w:rsidRPr="00092B17">
        <w:rPr>
          <w:rFonts w:ascii="Arial Narrow" w:hAnsi="Arial Narrow" w:cs="Arial"/>
          <w:sz w:val="22"/>
          <w:szCs w:val="24"/>
        </w:rPr>
        <w:t>20</w:t>
      </w:r>
      <w:r w:rsidR="0029606A" w:rsidRPr="00092B17">
        <w:rPr>
          <w:rFonts w:ascii="Arial Narrow" w:hAnsi="Arial Narrow" w:cs="Arial"/>
          <w:sz w:val="22"/>
          <w:szCs w:val="24"/>
        </w:rPr>
        <w:t>19</w:t>
      </w:r>
      <w:r w:rsidRPr="00092B17">
        <w:rPr>
          <w:rFonts w:ascii="Arial Narrow" w:hAnsi="Arial Narrow" w:cs="Arial"/>
          <w:sz w:val="22"/>
          <w:szCs w:val="24"/>
        </w:rPr>
        <w:t xml:space="preserve"> r</w:t>
      </w:r>
      <w:r w:rsidR="0029606A" w:rsidRPr="00092B17">
        <w:rPr>
          <w:rFonts w:ascii="Arial Narrow" w:hAnsi="Arial Narrow" w:cs="Arial"/>
          <w:sz w:val="22"/>
          <w:szCs w:val="24"/>
        </w:rPr>
        <w:t>.</w:t>
      </w:r>
      <w:r w:rsidRPr="00092B17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092B17">
        <w:rPr>
          <w:rFonts w:ascii="Arial Narrow" w:hAnsi="Arial Narrow" w:cs="Arial"/>
          <w:sz w:val="22"/>
          <w:szCs w:val="24"/>
        </w:rPr>
        <w:t>z</w:t>
      </w:r>
      <w:r w:rsidRPr="00092B17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092B17">
        <w:rPr>
          <w:rFonts w:ascii="Arial Narrow" w:hAnsi="Arial Narrow" w:cs="Arial"/>
          <w:sz w:val="22"/>
          <w:szCs w:val="24"/>
        </w:rPr>
        <w:t>p</w:t>
      </w:r>
      <w:r w:rsidRPr="00092B17">
        <w:rPr>
          <w:rFonts w:ascii="Arial Narrow" w:hAnsi="Arial Narrow" w:cs="Arial"/>
          <w:sz w:val="22"/>
          <w:szCs w:val="24"/>
        </w:rPr>
        <w:t xml:space="preserve">ublicznych </w:t>
      </w:r>
      <w:r w:rsidR="004C54C5" w:rsidRPr="00092B17">
        <w:rPr>
          <w:rFonts w:ascii="Arial Narrow" w:hAnsi="Arial Narrow" w:cs="Arial"/>
          <w:sz w:val="22"/>
          <w:szCs w:val="24"/>
        </w:rPr>
        <w:t>(t.j. Dz. U. z 2024 poz. 1320)</w:t>
      </w:r>
      <w:r w:rsidR="00BE7BFD" w:rsidRPr="00092B17">
        <w:rPr>
          <w:rFonts w:ascii="Arial Narrow" w:hAnsi="Arial Narrow" w:cs="Arial"/>
          <w:sz w:val="22"/>
          <w:szCs w:val="24"/>
        </w:rPr>
        <w:t xml:space="preserve">, </w:t>
      </w:r>
      <w:r w:rsidR="00E74BC3" w:rsidRPr="00092B17">
        <w:rPr>
          <w:rFonts w:ascii="Arial Narrow" w:hAnsi="Arial Narrow" w:cs="Arial"/>
          <w:sz w:val="22"/>
          <w:szCs w:val="24"/>
        </w:rPr>
        <w:t>udostępnia</w:t>
      </w:r>
      <w:r w:rsidR="00BE7BFD" w:rsidRPr="00092B17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092B17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092B17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092B17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092B17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092B17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092B17">
        <w:rPr>
          <w:rFonts w:ascii="Arial Narrow" w:hAnsi="Arial Narrow" w:cs="Arial"/>
          <w:sz w:val="22"/>
          <w:szCs w:val="24"/>
        </w:rPr>
        <w:t>wraz z wyjaśnieniami</w:t>
      </w:r>
      <w:r w:rsidR="0012774F" w:rsidRPr="00092B17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C54C5" w:rsidRPr="00092B17" w:rsidTr="007E09DD">
        <w:tc>
          <w:tcPr>
            <w:tcW w:w="9356" w:type="dxa"/>
            <w:shd w:val="clear" w:color="auto" w:fill="auto"/>
          </w:tcPr>
          <w:p w:rsidR="004C54C5" w:rsidRPr="006007E2" w:rsidRDefault="006007E2" w:rsidP="007E09D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6007E2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t>PYTANIE NR 1</w:t>
            </w:r>
          </w:p>
          <w:p w:rsidR="004C54C5" w:rsidRPr="00092B17" w:rsidRDefault="004C54C5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1.</w:t>
            </w:r>
            <w:r w:rsidRPr="00092B17">
              <w:rPr>
                <w:rFonts w:ascii="Arial Narrow" w:hAnsi="Arial Narrow" w:cs="Arial"/>
                <w:sz w:val="22"/>
                <w:szCs w:val="24"/>
              </w:rPr>
              <w:tab/>
              <w:t>Czy w celu miarkowania kar umownych Zamawiający dokona modyfikacji postanowień projektu przyszłej umowy w zakresie zapisów § 8 Ust. 1:</w:t>
            </w:r>
          </w:p>
          <w:p w:rsidR="004C54C5" w:rsidRPr="00092B17" w:rsidRDefault="004C54C5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1.</w:t>
            </w:r>
            <w:r w:rsidR="006007E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92B17">
              <w:rPr>
                <w:rFonts w:ascii="Arial Narrow" w:hAnsi="Arial Narrow" w:cs="Arial"/>
                <w:sz w:val="22"/>
                <w:szCs w:val="24"/>
              </w:rPr>
              <w:t>Wykonawca zapłaci Zamawiającemu karę umowną w następujących przypadkach:</w:t>
            </w:r>
          </w:p>
          <w:p w:rsidR="004C54C5" w:rsidRPr="00092B17" w:rsidRDefault="004C54C5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2)za niewykonanie przedmiotu umowy tj. dostarczenie i uruchomienie urządzenia oraz przeszkolenia personelu na własny koszt - w terminie określonym w § 2 ust. 1 umowy - 0,5% wartości</w:t>
            </w:r>
            <w:r w:rsidR="006007E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92B17">
              <w:rPr>
                <w:rFonts w:ascii="Arial Narrow" w:hAnsi="Arial Narrow" w:cs="Arial"/>
                <w:sz w:val="22"/>
                <w:szCs w:val="24"/>
              </w:rPr>
              <w:t>przedmiotu umowy brutto, którego dotyczy zwłoka za każdy dzień zwłoki,</w:t>
            </w:r>
          </w:p>
          <w:p w:rsidR="004C54C5" w:rsidRPr="00092B17" w:rsidRDefault="004C54C5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3)za nieusunięcie wad stwierdzonych w okresie gwarancji i rękojmi - 0,5 % wartości brutto</w:t>
            </w:r>
            <w:r w:rsidR="006007E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92B17">
              <w:rPr>
                <w:rFonts w:ascii="Arial Narrow" w:hAnsi="Arial Narrow" w:cs="Arial"/>
                <w:sz w:val="22"/>
                <w:szCs w:val="24"/>
              </w:rPr>
              <w:t xml:space="preserve">wadliwego przedmiotu umowy, za każdy dzień zwłoki ponad termin wskazany przez Zamawiającego na usunięcie wad, </w:t>
            </w:r>
          </w:p>
          <w:p w:rsidR="004C54C5" w:rsidRDefault="004C54C5" w:rsidP="00600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4)w przypadku braku terminowego wykonania przeglądu technicznego w okresie gwarancji w wysokości 0,5 % wartości brutto</w:t>
            </w:r>
            <w:r w:rsidR="006007E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92B17">
              <w:rPr>
                <w:rFonts w:ascii="Arial Narrow" w:hAnsi="Arial Narrow" w:cs="Arial"/>
                <w:sz w:val="22"/>
                <w:szCs w:val="24"/>
              </w:rPr>
              <w:t>przedmiotu umowy, którego dotyczy zwłoka za każdy dzień zwłoki;</w:t>
            </w:r>
          </w:p>
          <w:p w:rsidR="005F3BB6" w:rsidRDefault="006007E2" w:rsidP="00600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wyraża zgodę</w:t>
            </w:r>
            <w:r w:rsidR="005F3BB6">
              <w:rPr>
                <w:rFonts w:ascii="Arial Narrow" w:hAnsi="Arial Narrow" w:cs="Arial"/>
                <w:b/>
                <w:sz w:val="22"/>
                <w:szCs w:val="24"/>
              </w:rPr>
              <w:t xml:space="preserve"> na zastosowanie tego zapisu w przypadku zadania 3.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="005F3BB6">
              <w:rPr>
                <w:rFonts w:ascii="Arial Narrow" w:hAnsi="Arial Narrow" w:cs="Arial"/>
                <w:b/>
                <w:sz w:val="22"/>
                <w:szCs w:val="24"/>
              </w:rPr>
              <w:t xml:space="preserve"> Zapis § 8 ust. 1 pkt. 2 projektu umowy po zmianach należy czytać w ten sposób, że w przypadku wystąpienia braków w ukompletowaniu np. tylko jednego urządzenia spośród czterech zapotrzebowanych przez Zamawiającego kara umowa zostanie naliczona od wartości brutto 1 kompletu, a nie od wartości brutto części która powoduje że urządzenie jest niekompletne. </w:t>
            </w:r>
          </w:p>
          <w:p w:rsidR="006007E2" w:rsidRPr="00DF56B9" w:rsidRDefault="005F3BB6" w:rsidP="00DF56B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lastRenderedPageBreak/>
              <w:t xml:space="preserve">Dotyczy zadania 3, § 8 ust.1 pkt. 3 ,4 –  pod pojęciem </w:t>
            </w:r>
            <w:r w:rsidRPr="00D56DE8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wadliwy przedmiot umowy/ przedmiot umowy, którego dotyczy zwłoka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należy  rozumieć </w:t>
            </w:r>
            <w:r w:rsidR="00D56DE8">
              <w:rPr>
                <w:rFonts w:ascii="Arial Narrow" w:hAnsi="Arial Narrow" w:cs="Arial"/>
                <w:b/>
                <w:sz w:val="22"/>
                <w:szCs w:val="24"/>
              </w:rPr>
              <w:t xml:space="preserve">wadliwy „komplet”/ komplet urządzenia, którego dotyczy zwłoka. 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</w:p>
        </w:tc>
      </w:tr>
      <w:tr w:rsidR="004C54C5" w:rsidRPr="00092B17" w:rsidTr="007E09DD">
        <w:tc>
          <w:tcPr>
            <w:tcW w:w="9356" w:type="dxa"/>
            <w:shd w:val="clear" w:color="auto" w:fill="auto"/>
          </w:tcPr>
          <w:p w:rsidR="004C54C5" w:rsidRPr="008011EC" w:rsidRDefault="008011EC" w:rsidP="007E09D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8011EC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2</w:t>
            </w:r>
          </w:p>
          <w:p w:rsidR="004C54C5" w:rsidRPr="00092B17" w:rsidRDefault="004C54C5" w:rsidP="00643741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Pakiet 2 - Czy Zamawiający dopuści w pakiecie 2 urządzenie, którego rok produkcji to 2024/2025?</w:t>
            </w:r>
          </w:p>
          <w:p w:rsidR="004C54C5" w:rsidRPr="00522CAD" w:rsidRDefault="00522CAD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Pr="00092B17" w:rsidRDefault="004C54C5" w:rsidP="00643741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Pakiet 2, tabela, pkt. 44 – Czy Zamawiający wrazi zgodę na wydłużenie czasu naprawy bez użycia części zamiennych do 30 dni? Wykonawca w ciągu 48</w:t>
            </w:r>
            <w:r w:rsidR="00522CA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092B17">
              <w:rPr>
                <w:rFonts w:ascii="Arial Narrow" w:hAnsi="Arial Narrow" w:cs="Arial"/>
                <w:sz w:val="22"/>
                <w:szCs w:val="24"/>
              </w:rPr>
              <w:t xml:space="preserve">h od zgłoszenia awarii zapewni Zamawiającemu sprzęt zastępczy. </w:t>
            </w:r>
          </w:p>
          <w:p w:rsidR="00522CAD" w:rsidRPr="00522CAD" w:rsidRDefault="00522CAD" w:rsidP="00522C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Pr="00092B17" w:rsidRDefault="004C54C5" w:rsidP="00643741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Pakiet 2, tabela, pkt. 45 – Czy Zamawiający wrazi zgodę na wydłużenie czasu naprawy z użyciem części zamiennych do 30 dni? Wykonawca w ciągu 48h od zgłoszenia awarii zapewni Zamawiającemu sprzęt zastępczy.</w:t>
            </w:r>
          </w:p>
          <w:p w:rsidR="004C54C5" w:rsidRPr="00DF56B9" w:rsidRDefault="00522CAD" w:rsidP="00DF56B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</w:tc>
      </w:tr>
      <w:tr w:rsidR="004C54C5" w:rsidRPr="00092B17" w:rsidTr="007E09DD">
        <w:tc>
          <w:tcPr>
            <w:tcW w:w="9356" w:type="dxa"/>
            <w:shd w:val="clear" w:color="auto" w:fill="auto"/>
          </w:tcPr>
          <w:p w:rsidR="004C54C5" w:rsidRPr="00643741" w:rsidRDefault="00643741" w:rsidP="007E09D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643741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t>PYTANIE NR 3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>Ad.1 Czy Zamawiający dopuści pompę objętościową sterowaną elektronicznie do stosowania u dorosłych, dzieci i noworodków do tymczasowego lub ciągłego podawania roztworów pozajelitowych przy wykorzystaniu zatwierdzonych klinicznie dróg podawania: droga dożylna, dotętnicza, podskórna?</w:t>
            </w:r>
          </w:p>
          <w:p w:rsidR="00643741" w:rsidRPr="00643741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57" w:hanging="357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>Ad.4 Czy Zamawiający dopuści masę pompy gotowej do użycia ~ 2kg?</w:t>
            </w:r>
          </w:p>
          <w:p w:rsidR="00643741" w:rsidRPr="00643741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after="120"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>Ad.5 Czy Zamawiający dopuści pompę z dokładnością podaży +/- 5%?</w:t>
            </w:r>
          </w:p>
          <w:p w:rsidR="00643741" w:rsidRPr="00522CAD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 xml:space="preserve">Ad.7 Czy Zamawiający na zasadzie równoważności dopuści, aby część komunikatów była wyświetlana </w:t>
            </w:r>
            <w:r>
              <w:rPr>
                <w:rFonts w:ascii="Arial Narrow" w:hAnsi="Arial Narrow"/>
                <w:sz w:val="22"/>
                <w:szCs w:val="20"/>
              </w:rPr>
              <w:br/>
            </w:r>
            <w:r w:rsidRPr="00643741">
              <w:rPr>
                <w:rFonts w:ascii="Arial Narrow" w:hAnsi="Arial Narrow"/>
                <w:sz w:val="22"/>
                <w:szCs w:val="20"/>
              </w:rPr>
              <w:t>w postaci rysunków wraz z opisami, w celu łatwiejszego pokazania niektórych funkcji i czynności do wykonania przez użytkownika, m.in. graficzny instruktaż podczas zakładania linii jednorazowej?</w:t>
            </w:r>
          </w:p>
          <w:p w:rsidR="00643741" w:rsidRPr="00522CAD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>Ad.8 Czy Zamawiający dopuści stopień ochrony przed wilgocią IP 32, chroniący przed kroplami wody?</w:t>
            </w:r>
          </w:p>
          <w:p w:rsidR="00643741" w:rsidRPr="00522CAD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>Ad.9 Czy Zamawiający dopuści wysokiej klasy pompę infuzyjną z czytelnym graficznym wyświetlaczem LCD o wymiarach 70 mm × 35 mm z bardzo czytelną i intuicyjną klawiaturę symboliczną rozmieszczoną wokół ekranu umożliwiającą łatwą obsługę pompy?</w:t>
            </w:r>
          </w:p>
          <w:p w:rsidR="00643741" w:rsidRPr="00522CAD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lastRenderedPageBreak/>
              <w:t>Odpowiedź: Zamawiający podtrzymuje zapisy SWZ.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>Ad.10 Czy Zamawiający dopuści pompę z uchwytem do mocowania pompy do rury pionowej, kolumny lub poziomej szyny oraz rączka do przenoszenia na stałe wbudowane w pompę, co ułatwia montaż urządzenia na stojaku i kolumnie (20-40mm), szynie (25-35 x10mm)  itp. a także minimalizuje ryzyko przypadkowego odłączenia się uchwytu lub zagubienia?</w:t>
            </w:r>
          </w:p>
          <w:p w:rsidR="00643741" w:rsidRPr="00522CAD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>Ad.12 Czy Zamawiający dopuści pompę z następującymi dostępnymi liniami infuzyjnymi:</w:t>
            </w:r>
            <w:r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643741">
              <w:rPr>
                <w:rFonts w:ascii="Arial Narrow" w:hAnsi="Arial Narrow"/>
                <w:sz w:val="22"/>
                <w:szCs w:val="20"/>
              </w:rPr>
              <w:t>podstawowe bezbarwne, chroniące przed światłem, do transfuzji, do terapii przeciwbólowych, do antybiotykoterapii, wielodrożne do onkologii pracujące w systemie zamkniętym, do żywienia pozajelitowego i inne dodatkowe?</w:t>
            </w:r>
          </w:p>
          <w:p w:rsidR="00643741" w:rsidRPr="00643741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>Ad.16 Czy Zamawiający dopuści pompy bez możliwości zdalnej aktualizacji oprogramowania oraz biblioteki leków?</w:t>
            </w:r>
          </w:p>
          <w:p w:rsidR="00643741" w:rsidRPr="00643741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>Ad.18 Czy Zamawiający dopuści wstępnie wybieraną objętość w zakresie 0,10 - 9999 ml programowana co 0,1 ml?</w:t>
            </w:r>
          </w:p>
          <w:p w:rsidR="00643741" w:rsidRPr="00643741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Default="00643741" w:rsidP="00643741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 xml:space="preserve">Ad.21 Czy Zamawiający dopuści do postępowania pompę z programowaniem parametrów infuzji w jednostkach: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ng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/h,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ng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/kg/min,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ng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/kg/h,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microg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/min,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microg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/h,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microg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 kg/min,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microg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/kg/h, mg/min, mg/h, mg/24h, mg/kg/min, mg/kg/h, mg/kg/24h, mg/m2/h, mg/m2/24h, g/h, g/kg/min, g/kg/h, g/kg/24h,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mmol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/h,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mmol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/kg/h,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mmol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/kg/24h,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mU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/min,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mU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/kg/min,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mU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/kg/h, U/min, U/h, U/kg/min, U/kg/h, kcal/h, kcal/24h, kcal/kg/h,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mEq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/min,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mEq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/h,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mEq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 xml:space="preserve">/kg/min,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mEq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>/kg/h?</w:t>
            </w:r>
          </w:p>
          <w:p w:rsidR="00643741" w:rsidRPr="00643741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>Ad.28 Czy Zamawiający dopuści urządzenie wyposażone w tryb dzienny i nocny z opcją przełączania między trybami ręcznie i automatycznie; gdzie lampki infuzji w trybie nocnym są mniej jaskrawe, a ekran przyciemniony?</w:t>
            </w:r>
          </w:p>
          <w:p w:rsidR="00643741" w:rsidRPr="00643741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>Ad.29 Czy Zamawiający dopuści bibliotekę leków z możliwością wpisu min. 3800 leków, z podziałem na min. 19 profili?</w:t>
            </w:r>
          </w:p>
          <w:p w:rsidR="00643741" w:rsidRPr="00522CAD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 xml:space="preserve">Ad.30 Czy Zamawiający dopuści każdy lek powiązany z limitami miękkimi, z limitami twardymi, bez kolorowych etykiet? </w:t>
            </w:r>
          </w:p>
          <w:p w:rsidR="00643741" w:rsidRPr="00643741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 xml:space="preserve">Ad.31 Czy Zamawiający dopuści nazwę leku stale widoczną na wyświetlaczu pompy, a po wystąpieniu </w:t>
            </w:r>
            <w:r w:rsidRPr="00643741">
              <w:rPr>
                <w:rFonts w:ascii="Arial Narrow" w:hAnsi="Arial Narrow"/>
                <w:sz w:val="22"/>
                <w:szCs w:val="20"/>
              </w:rPr>
              <w:lastRenderedPageBreak/>
              <w:t>alarmu, widoczna naprzemiennie z informacjami o alarmach?</w:t>
            </w:r>
          </w:p>
          <w:p w:rsidR="00643741" w:rsidRPr="00643741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 xml:space="preserve">Ad.33 Czy Zamawiający dopuści pompę, gdzie ciśnienie okluzji możliwe jest do ustawienia na aż 19 poziomach w zakresie od 50 do 750 </w:t>
            </w:r>
            <w:proofErr w:type="spellStart"/>
            <w:r w:rsidRPr="00643741">
              <w:rPr>
                <w:rFonts w:ascii="Arial Narrow" w:hAnsi="Arial Narrow"/>
                <w:sz w:val="22"/>
                <w:szCs w:val="20"/>
              </w:rPr>
              <w:t>mmHg</w:t>
            </w:r>
            <w:proofErr w:type="spellEnd"/>
            <w:r w:rsidRPr="00643741">
              <w:rPr>
                <w:rFonts w:ascii="Arial Narrow" w:hAnsi="Arial Narrow"/>
                <w:sz w:val="22"/>
                <w:szCs w:val="20"/>
              </w:rPr>
              <w:t>, a wskaźnik ciśnienia okluzji stale widoczny na wyświetlaczu pompy?</w:t>
            </w:r>
          </w:p>
          <w:p w:rsidR="00643741" w:rsidRPr="00643741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Pr="00643741" w:rsidRDefault="00643741" w:rsidP="00643741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60"/>
              <w:contextualSpacing/>
              <w:jc w:val="both"/>
              <w:rPr>
                <w:rFonts w:ascii="Arial Narrow" w:hAnsi="Arial Narrow"/>
                <w:sz w:val="22"/>
                <w:szCs w:val="20"/>
              </w:rPr>
            </w:pPr>
            <w:r w:rsidRPr="00643741">
              <w:rPr>
                <w:rFonts w:ascii="Arial Narrow" w:hAnsi="Arial Narrow"/>
                <w:sz w:val="22"/>
                <w:szCs w:val="20"/>
              </w:rPr>
              <w:t>Ad.34 Czy Zamawiający dopuści  akumulator, którego czas ponownego ładowania wynosi ok. 7 godz.? Pozostałe parametry bez zmian.</w:t>
            </w:r>
          </w:p>
          <w:p w:rsidR="004C54C5" w:rsidRPr="00643741" w:rsidRDefault="00643741" w:rsidP="00643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</w:tc>
      </w:tr>
      <w:tr w:rsidR="004C54C5" w:rsidRPr="00092B17" w:rsidTr="007E09DD">
        <w:tc>
          <w:tcPr>
            <w:tcW w:w="9356" w:type="dxa"/>
            <w:shd w:val="clear" w:color="auto" w:fill="auto"/>
          </w:tcPr>
          <w:p w:rsidR="004C54C5" w:rsidRPr="00643741" w:rsidRDefault="00643741" w:rsidP="007E09D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643741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4</w:t>
            </w:r>
          </w:p>
          <w:p w:rsidR="004C54C5" w:rsidRPr="00092B17" w:rsidRDefault="004C54C5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Dotyczy Załącznika nr 6 - Specyfikacja techniczna Zadanie 1</w:t>
            </w:r>
          </w:p>
          <w:p w:rsidR="004C54C5" w:rsidRPr="00092B17" w:rsidRDefault="004C54C5" w:rsidP="0064374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Czy Zamawiający wyrazi zgodę na zwiększenie czasu naprawy do 12 tygodni od momentu podjęcia naprawy? Przy przedłużającej się naprawie Wykonawca zapewni urządzenie zastępcze na czas naprawy o takich samych parametrach.</w:t>
            </w:r>
          </w:p>
          <w:p w:rsidR="004C54C5" w:rsidRPr="00092B17" w:rsidRDefault="00DA0919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643741" w:rsidRDefault="00643741" w:rsidP="0064374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4C54C5" w:rsidRPr="00092B17">
              <w:rPr>
                <w:rFonts w:ascii="Arial Narrow" w:hAnsi="Arial Narrow" w:cs="Arial"/>
                <w:sz w:val="22"/>
                <w:szCs w:val="24"/>
              </w:rPr>
              <w:t>Czy Zamawiający wyrazi zgodę na przesłanie urządzenia przez Autoryzowany Serwis do Centrum Serwisowego z siedzibą w Holandii?</w:t>
            </w:r>
          </w:p>
          <w:p w:rsidR="00643741" w:rsidRDefault="00DA0919" w:rsidP="00DA0919">
            <w:pPr>
              <w:pStyle w:val="Akapitzlist"/>
              <w:ind w:left="0"/>
              <w:rPr>
                <w:rFonts w:ascii="Arial Narrow" w:hAnsi="Arial Narrow"/>
                <w:b/>
                <w:sz w:val="22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DA0919" w:rsidRDefault="00DA0919" w:rsidP="00DA0919">
            <w:pPr>
              <w:pStyle w:val="Akapitzlist"/>
              <w:ind w:left="0"/>
              <w:rPr>
                <w:rFonts w:ascii="Arial Narrow" w:hAnsi="Arial Narrow" w:cs="Arial"/>
                <w:sz w:val="22"/>
              </w:rPr>
            </w:pPr>
          </w:p>
          <w:p w:rsidR="004C54C5" w:rsidRPr="00643741" w:rsidRDefault="004C54C5" w:rsidP="0064374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43741">
              <w:rPr>
                <w:rFonts w:ascii="Arial Narrow" w:hAnsi="Arial Narrow" w:cs="Arial"/>
                <w:sz w:val="22"/>
                <w:szCs w:val="24"/>
              </w:rPr>
              <w:t xml:space="preserve">W związku z zapisem dotyczącym wydłużenia okresu gwarancji o trzykrotność czasu przerwy w eksploatacji po przekroczeniu terminu 7 dni kalendarzowych na naprawę gwarancyjną, uprzejmie prosimy o doprecyzowanie, czy Zamawiający dopuszcza możliwość, aby w przypadku dostarczenia urządzenia zastępczego na czas naprawy, nie stosować wskazanego mechanizmu wydłużenia gwarancji. Dostarczenie urządzenia zastępczego zapewni bowiem ciągłość eksploatacji i brak faktycznej przerwy w użytkowaniu, co czyniłoby przedłużenie gwarancji o trzykrotność przestoju nieadekwatnym. </w:t>
            </w:r>
          </w:p>
          <w:p w:rsidR="004C54C5" w:rsidRPr="00092B17" w:rsidRDefault="00DA0919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Pr="00092B17" w:rsidRDefault="004C54C5" w:rsidP="0064374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Zwracamy się z prośbą do Zamawiającego o doprecyzowanie wymogów postawionych w pkt. 19 Warunków Gwarancji i Serwisu.</w:t>
            </w:r>
          </w:p>
          <w:p w:rsidR="004C54C5" w:rsidRPr="00092B17" w:rsidRDefault="00DA0919" w:rsidP="00A36BA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</w:t>
            </w:r>
            <w:r>
              <w:rPr>
                <w:rFonts w:ascii="Arial Narrow" w:hAnsi="Arial Narrow"/>
                <w:b/>
                <w:sz w:val="22"/>
              </w:rPr>
              <w:t xml:space="preserve"> </w:t>
            </w:r>
            <w:r w:rsidR="00A36BA4" w:rsidRPr="00A36BA4">
              <w:rPr>
                <w:rFonts w:ascii="Arial Narrow" w:hAnsi="Arial Narrow"/>
                <w:b/>
                <w:sz w:val="22"/>
              </w:rPr>
              <w:t>Zamawiający wymaga aby Wykonawca w kolumnie wartość oferowana podał godziny przyjmowania zgłoszeń oraz sposób w jaki będzie przyjmował zgłoszenia o awariach czyli w jaki sposób Zamaw</w:t>
            </w:r>
            <w:r w:rsidR="00A36BA4">
              <w:rPr>
                <w:rFonts w:ascii="Arial Narrow" w:hAnsi="Arial Narrow"/>
                <w:b/>
                <w:sz w:val="22"/>
              </w:rPr>
              <w:t>i</w:t>
            </w:r>
            <w:r w:rsidR="00A36BA4" w:rsidRPr="00A36BA4">
              <w:rPr>
                <w:rFonts w:ascii="Arial Narrow" w:hAnsi="Arial Narrow"/>
                <w:b/>
                <w:sz w:val="22"/>
              </w:rPr>
              <w:t>aj</w:t>
            </w:r>
            <w:r w:rsidR="00A36BA4">
              <w:rPr>
                <w:rFonts w:ascii="Arial Narrow" w:hAnsi="Arial Narrow"/>
                <w:b/>
                <w:sz w:val="22"/>
              </w:rPr>
              <w:t>ą</w:t>
            </w:r>
            <w:r w:rsidR="00A36BA4" w:rsidRPr="00A36BA4">
              <w:rPr>
                <w:rFonts w:ascii="Arial Narrow" w:hAnsi="Arial Narrow"/>
                <w:b/>
                <w:sz w:val="22"/>
              </w:rPr>
              <w:t>cy ma zgłaszać zgłoszenia o awariach.</w:t>
            </w:r>
          </w:p>
        </w:tc>
      </w:tr>
      <w:tr w:rsidR="004C54C5" w:rsidRPr="00092B17" w:rsidTr="007E09DD">
        <w:tc>
          <w:tcPr>
            <w:tcW w:w="9356" w:type="dxa"/>
            <w:shd w:val="clear" w:color="auto" w:fill="auto"/>
          </w:tcPr>
          <w:p w:rsidR="004C54C5" w:rsidRPr="003F22CC" w:rsidRDefault="003F22CC" w:rsidP="007E09D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3F22CC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t>PYTANIE NR 5</w:t>
            </w:r>
          </w:p>
          <w:p w:rsidR="004C54C5" w:rsidRDefault="004C54C5" w:rsidP="00984531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 xml:space="preserve">Zadanie nr 3: Dot. par. 7 ust. 5 i 6 wzoru umowy – Czy Zamawiający wyraża zgodę na 30 dniowy termin </w:t>
            </w:r>
            <w:r w:rsidRPr="00092B17">
              <w:rPr>
                <w:rFonts w:ascii="Arial Narrow" w:hAnsi="Arial Narrow" w:cs="Arial"/>
                <w:sz w:val="22"/>
                <w:szCs w:val="24"/>
              </w:rPr>
              <w:lastRenderedPageBreak/>
              <w:t>płatności?</w:t>
            </w:r>
          </w:p>
          <w:p w:rsidR="00051F87" w:rsidRDefault="00051F87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zgodę. Wykonawca zobowiązany jest wskazać w formularzu oferty termin płatności w przedziale - min. 30 dni kalendarzowych, max. 60 dni kalendarzowych, z zastrzeżeniem iż nie będzie to stanowiło kryterium oceny ofert. W przypadku niewskazania przez Wykonawcę żadnego terminu płatności - obowiązywać będzie 60-dniowy termin płatności.</w:t>
            </w:r>
          </w:p>
          <w:p w:rsidR="004C54C5" w:rsidRDefault="004C54C5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2. Zadanie nr 3: Wykonawca zwraca się z prośbą o potwierdzenie, Zamawiający w ramach zadania nr 3 wymaga dostawy 4 pomp objętościowych, 4 statywów i 200 szt. zestawów infuzyjnych?</w:t>
            </w:r>
          </w:p>
          <w:p w:rsidR="00634FBE" w:rsidRPr="00634FBE" w:rsidRDefault="00634FBE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</w:t>
            </w:r>
            <w:r w:rsidR="00901838">
              <w:rPr>
                <w:rFonts w:ascii="Arial Narrow" w:hAnsi="Arial Narrow" w:cs="Arial"/>
                <w:b/>
                <w:sz w:val="22"/>
                <w:szCs w:val="24"/>
              </w:rPr>
              <w:t xml:space="preserve">SWZ. </w:t>
            </w:r>
          </w:p>
          <w:p w:rsidR="004C54C5" w:rsidRPr="00092B17" w:rsidRDefault="004C54C5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3. Zadanie nr 3: Dot. formularza cenowego załącznika nr 10 do SWZ – Czy Zamawiający uwzględni wielkość opakowania zbiorczego proponowanego przez Wykonawcę podczas składania zamówień częściowych? Wyjaśniamy, że obecnie zestawy pakowane są w opakowania zbiorcze zawierające 100 szt. zestawów.</w:t>
            </w:r>
          </w:p>
          <w:p w:rsidR="00DC3CA8" w:rsidRPr="00634FBE" w:rsidRDefault="00DC3CA8" w:rsidP="00DC3CA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Wykonawca w załączniku nr 10 do SWZ zobowiązany jest wskazać ilość zaoferowanych opakowań. </w:t>
            </w:r>
          </w:p>
          <w:p w:rsidR="004C54C5" w:rsidRPr="00092B17" w:rsidRDefault="004C54C5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 xml:space="preserve">4. Dot. formularza cenowego załącznika nr 10 do SWZ – Czy Zamawiający dopuszcza zestawy wykonane z PCW </w:t>
            </w:r>
            <w:proofErr w:type="spellStart"/>
            <w:r w:rsidRPr="00092B17">
              <w:rPr>
                <w:rFonts w:ascii="Arial Narrow" w:hAnsi="Arial Narrow" w:cs="Arial"/>
                <w:sz w:val="22"/>
                <w:szCs w:val="24"/>
              </w:rPr>
              <w:t>DEHP-free</w:t>
            </w:r>
            <w:proofErr w:type="spellEnd"/>
            <w:r w:rsidRPr="00092B17">
              <w:rPr>
                <w:rFonts w:ascii="Arial Narrow" w:hAnsi="Arial Narrow" w:cs="Arial"/>
                <w:sz w:val="22"/>
                <w:szCs w:val="24"/>
              </w:rPr>
              <w:t xml:space="preserve"> wyposażone w filtr z membraną 15µmi, ale nieposiadające poniższych parametrów:</w:t>
            </w:r>
          </w:p>
          <w:p w:rsidR="004C54C5" w:rsidRPr="00092B17" w:rsidRDefault="004C54C5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- „na odcinku silikonowym graficzne oznaczenie wykluczające możliwość skręcenia wzdłużnego”</w:t>
            </w:r>
          </w:p>
          <w:p w:rsidR="004C54C5" w:rsidRPr="00092B17" w:rsidRDefault="004C54C5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- „komora kroplowa oznaczona nazwą producenta”</w:t>
            </w:r>
          </w:p>
          <w:p w:rsidR="004C54C5" w:rsidRPr="00092B17" w:rsidRDefault="004C54C5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- „automatycznie zatrzymujący infuzję po opróżnieniu komory kroplowej, przeciwdziałając zapowietrzeniu układu”</w:t>
            </w:r>
          </w:p>
          <w:p w:rsidR="004C54C5" w:rsidRDefault="004C54C5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pozostałe parametry bez zmian?</w:t>
            </w:r>
          </w:p>
          <w:p w:rsidR="003B55A3" w:rsidRPr="00092B17" w:rsidRDefault="003B55A3" w:rsidP="003B55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3B55A3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Zadanie nr 3: Dot. parametru nr 1 Załącznika nr 9 do SWZ – Czy Zamawiający dopuszcza sterowane elektronicznie pompy przeznaczone do stosowania u dorosłych, dzieci i noworodków do tymczasowego lub ciągłego podawania roztworów pozajelitowych i dojelitowych nieposiadające funkcjonalności podaży podskórną drogą dostępu?</w:t>
            </w:r>
          </w:p>
          <w:p w:rsidR="003B55A3" w:rsidRPr="00092B17" w:rsidRDefault="003B55A3" w:rsidP="003B55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3B55A3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Zadanie nr 3: Dot. parametru nr 4 Załącznika nr 9 do SWZ - Czy Zamawiający dopuszcza pompy o wadze maks. 2,39 kg?</w:t>
            </w:r>
          </w:p>
          <w:p w:rsidR="003B55A3" w:rsidRPr="00092B17" w:rsidRDefault="003B55A3" w:rsidP="003B55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3B55A3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Zadanie nr 3: Dot. parametru nr 5 Załącznika nr 9 do SWZ - Czy Zamawiający dopuszcza pompy z dokładnością podaży +/- 5% zgodnie z normą PN-EN 60601-2-24?</w:t>
            </w:r>
          </w:p>
          <w:p w:rsidR="003B55A3" w:rsidRPr="00092B17" w:rsidRDefault="003B55A3" w:rsidP="003B55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3B55A3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lastRenderedPageBreak/>
              <w:t>Zadanie nr 3: Dot. parametru nr 8 Załącznika nr 9 do SWZ - Czy Zamawiający dopuszcza pompy posiadające stopień ochrony IP22?</w:t>
            </w:r>
          </w:p>
          <w:p w:rsidR="003B55A3" w:rsidRPr="00092B17" w:rsidRDefault="003B55A3" w:rsidP="003B55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3B55A3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Zadanie nr 3: Dot. parametru nr 9 Załącznika nr 9 do SWZ - Czy Zamawiający dopuszcza pompy posiadające kolorowy wyświetlacz 3.2” (wysoka rozdzielczość wyświetlanych informacji, 400x240 punktów) wyposażony w funkcję dotykową? Dodatkowo pompy wyposażone są w klawiaturę alfanumeryczną, która znacznie przyspiesza obsługę pompy a ponadto stanowi dodatkowe zabezpieczenie, na wypadek uszkodzenia ekranu i możliwości wprowadzania zmian przez dotyk.</w:t>
            </w:r>
          </w:p>
          <w:p w:rsidR="003B55A3" w:rsidRPr="00092B17" w:rsidRDefault="003B55A3" w:rsidP="003B55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3B55A3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Zadanie nr 3: Dot. parametru nr 10 Załącznika nr 9 do SWZ - Czy Zamawiający dopuszcza pompy, które mogą łączyć się w moduły z użyciem stacji dokującej oraz posiadają wbudowaną na stałe klemę do mocowania pomp do stojaków infuzyjnych, oraz szyn poziomych (zakres regulacji 8-36 mm)?</w:t>
            </w:r>
          </w:p>
          <w:p w:rsidR="003B55A3" w:rsidRPr="00092B17" w:rsidRDefault="003B55A3" w:rsidP="003B55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3B55A3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 xml:space="preserve">Zadanie nr 3: Dot. parametru nr 12 Załącznika nr 9 do SWZ - Czy Zamawiający dopuszcza pompy nieposiadające dostępnej linii / zestawu do terapii przeciwbólowych pracujących w systemie </w:t>
            </w:r>
            <w:proofErr w:type="spellStart"/>
            <w:r w:rsidRPr="00092B17">
              <w:rPr>
                <w:rFonts w:ascii="Arial Narrow" w:hAnsi="Arial Narrow" w:cs="Arial"/>
                <w:sz w:val="22"/>
                <w:szCs w:val="24"/>
              </w:rPr>
              <w:t>NRFit</w:t>
            </w:r>
            <w:proofErr w:type="spellEnd"/>
            <w:r w:rsidRPr="00092B17">
              <w:rPr>
                <w:rFonts w:ascii="Arial Narrow" w:hAnsi="Arial Narrow" w:cs="Arial"/>
                <w:sz w:val="22"/>
                <w:szCs w:val="24"/>
              </w:rPr>
              <w:t>?</w:t>
            </w:r>
          </w:p>
          <w:p w:rsidR="003B55A3" w:rsidRPr="00092B17" w:rsidRDefault="003B55A3" w:rsidP="003B55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3B55A3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Zadanie nr 3: Dot. parametru nr 14 Załącznika nr 9 do SWZ - Czy Zamawiający dopuszcza, aby komunikacja pomiędzy pompą a stacja dokującą odbywała się za pośrednictwem podczerwieni?</w:t>
            </w:r>
          </w:p>
          <w:p w:rsidR="003B55A3" w:rsidRPr="00092B17" w:rsidRDefault="003B55A3" w:rsidP="003B55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3B55A3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 xml:space="preserve">Zadanie nr 3: Dot. parametru nr 15 Załącznika nr 9 do SWZ - Czy Zamawiający dopuszcza pompy nieposiadające wskazanej funkcjonalności? Wyjaśniamy, że stacje dokujące wyposażone są w moduł </w:t>
            </w:r>
            <w:proofErr w:type="spellStart"/>
            <w:r w:rsidRPr="00092B17">
              <w:rPr>
                <w:rFonts w:ascii="Arial Narrow" w:hAnsi="Arial Narrow" w:cs="Arial"/>
                <w:sz w:val="22"/>
                <w:szCs w:val="24"/>
              </w:rPr>
              <w:t>Wi-Fi</w:t>
            </w:r>
            <w:proofErr w:type="spellEnd"/>
            <w:r w:rsidRPr="00092B17">
              <w:rPr>
                <w:rFonts w:ascii="Arial Narrow" w:hAnsi="Arial Narrow" w:cs="Arial"/>
                <w:sz w:val="22"/>
                <w:szCs w:val="24"/>
              </w:rPr>
              <w:t xml:space="preserve"> służący do komunikacji pomiędzy stacją a systemem monitorującym. Dane w standardzie HL7 IHE są przekazywane przez system monitorujący, który zapewnia dwukierunkową komunikację z systemami szpitalnymi.</w:t>
            </w:r>
          </w:p>
          <w:p w:rsidR="003B55A3" w:rsidRPr="00092B17" w:rsidRDefault="003B55A3" w:rsidP="003B55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3B55A3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Zadanie nr 3: Dot. parametru nr 27 Załącznika nr 9 do SWZ - Czy Zamawiający dopuszcza pompy z trybem stand-by w zakresie od 1 min do 23h59min z programowaniem co 1 minutę?</w:t>
            </w:r>
          </w:p>
          <w:p w:rsidR="003B55A3" w:rsidRPr="00092B17" w:rsidRDefault="003B55A3" w:rsidP="003B55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3B55A3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Zadanie nr 3: Dot. parametru nr 29 i 30 Załącznika nr 9 do SWZ - Czy Zamawiający dopuszcza pompy, w których istnieje możliwość wgrania (na życzenie) biblioteki leków (Do 40 CCA, do 40 kategorii leków, do 5000 procedur dozowania leków, 24 kombinacje kolorystyczne) w pełni dostosowanej do potrzeb Zamawiającego?</w:t>
            </w:r>
          </w:p>
          <w:p w:rsidR="003B55A3" w:rsidRPr="00092B17" w:rsidRDefault="003B55A3" w:rsidP="003B55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lastRenderedPageBreak/>
              <w:t>Odpowiedź: Zamawiający podtrzymuje zapisy SWZ.</w:t>
            </w:r>
          </w:p>
          <w:p w:rsidR="004C54C5" w:rsidRDefault="004C54C5" w:rsidP="003B55A3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 xml:space="preserve">Zadanie nr 3: Dot. parametru nr 33 Załącznika nr 9 do SWZ - Czy Zamawiający dopuszcza pompy, w których istnieje możliwość programowania progów ciśnienia okluzji przez użytkownika w zakresie 75-900 </w:t>
            </w:r>
            <w:proofErr w:type="spellStart"/>
            <w:r w:rsidRPr="00092B17">
              <w:rPr>
                <w:rFonts w:ascii="Arial Narrow" w:hAnsi="Arial Narrow" w:cs="Arial"/>
                <w:sz w:val="22"/>
                <w:szCs w:val="24"/>
              </w:rPr>
              <w:t>mmHg</w:t>
            </w:r>
            <w:proofErr w:type="spellEnd"/>
            <w:r w:rsidRPr="00092B17">
              <w:rPr>
                <w:rFonts w:ascii="Arial Narrow" w:hAnsi="Arial Narrow" w:cs="Arial"/>
                <w:sz w:val="22"/>
                <w:szCs w:val="24"/>
              </w:rPr>
              <w:t xml:space="preserve"> (12 poziomów)?</w:t>
            </w:r>
          </w:p>
          <w:p w:rsidR="003B55A3" w:rsidRPr="00092B17" w:rsidRDefault="003B55A3" w:rsidP="003B55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3B55A3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 xml:space="preserve">Zadanie nr 3: Dot. parametru nr 34 Załącznika nr 9 do SWZ - Czy Zamawiający dopuszcza pompy z wbudowanym akumulatorem </w:t>
            </w:r>
            <w:proofErr w:type="spellStart"/>
            <w:r w:rsidRPr="00092B17">
              <w:rPr>
                <w:rFonts w:ascii="Arial Narrow" w:hAnsi="Arial Narrow" w:cs="Arial"/>
                <w:sz w:val="22"/>
                <w:szCs w:val="24"/>
              </w:rPr>
              <w:t>Ni-MH</w:t>
            </w:r>
            <w:proofErr w:type="spellEnd"/>
            <w:r w:rsidRPr="00092B17">
              <w:rPr>
                <w:rFonts w:ascii="Arial Narrow" w:hAnsi="Arial Narrow" w:cs="Arial"/>
                <w:sz w:val="22"/>
                <w:szCs w:val="24"/>
              </w:rPr>
              <w:t xml:space="preserve"> (Czas pracy: 15 h @ 25 ml/h, Czas do pełnego naładowania: 100% &lt; 5 godz.; 90% &lt; 3 godz.)? Jednocześnie, czy Zamawiający dopuszcza pompy infuzyjne, w których informacja o pozostałym czasie pracy akumulatora jest widoczna po dotknięciu ikony akumulatora na ekranie dotykowym?</w:t>
            </w:r>
          </w:p>
          <w:p w:rsidR="003B55A3" w:rsidRDefault="003B55A3" w:rsidP="003B55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3B55A3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Zadanie nr 3: Dot. parametru nr 39 Załącznika nr 9 do SWZ - Czy Zamawiający dopuszcza pompy, w których data kolejnego przeglądu może być widoczna po wejściu w menu?</w:t>
            </w:r>
          </w:p>
          <w:p w:rsidR="003B55A3" w:rsidRPr="00092B17" w:rsidRDefault="003B55A3" w:rsidP="003B55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B76B48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Zadanie nr 3: Dot. parametru nr 46 Załącznika nr 9 do SWZ – Czy Zamawiający wyraża zgodę, aby podany termin wynosił 72h?</w:t>
            </w:r>
          </w:p>
          <w:p w:rsidR="00B76B48" w:rsidRPr="00092B17" w:rsidRDefault="00B76B48" w:rsidP="00B76B4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B76B48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Zadanie nr 3: Dot. parametru nr 47 Załącznika nr 9 do SWZ - Czy Zamawiający wyraża zgodę, aby podany termin wynosił 5 dni roboczych?</w:t>
            </w:r>
          </w:p>
          <w:p w:rsidR="00B76B48" w:rsidRPr="00092B17" w:rsidRDefault="00B76B48" w:rsidP="00B76B4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Default="004C54C5" w:rsidP="00B76B48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Zadanie nr 3: Dot. parametru nr 48 Załącznika nr 9 do SWZ - Czy Zamawiający wyraża zgodę, aby podany termin wynosił 10 dni roboczych?</w:t>
            </w:r>
          </w:p>
          <w:p w:rsidR="00B76B48" w:rsidRPr="00092B17" w:rsidRDefault="00B76B48" w:rsidP="00B76B4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  <w:p w:rsidR="004C54C5" w:rsidRPr="00092B17" w:rsidRDefault="004C54C5" w:rsidP="007E09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2B17">
              <w:rPr>
                <w:rFonts w:ascii="Arial Narrow" w:hAnsi="Arial Narrow" w:cs="Arial"/>
                <w:sz w:val="22"/>
                <w:szCs w:val="24"/>
              </w:rPr>
              <w:t>22. Zadanie nr 3: Dot. parametru nr 51 Załącznika nr 9 do SWZ – Czy Zamawiający wyraża zgodę na wykreślenie zapisu „po przekroczeniu którego przedłuża się gwarancję o 3-krotny czas przerwy w eksploatacji”?</w:t>
            </w:r>
          </w:p>
          <w:p w:rsidR="004C54C5" w:rsidRPr="00B76B48" w:rsidRDefault="00B76B48" w:rsidP="00B76B4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22CAD">
              <w:rPr>
                <w:rFonts w:ascii="Arial Narrow" w:hAnsi="Arial Narrow"/>
                <w:b/>
                <w:sz w:val="22"/>
              </w:rPr>
              <w:t>Odpowiedź: Zamawiający podtrzymuje zapisy SWZ.</w:t>
            </w:r>
          </w:p>
        </w:tc>
      </w:tr>
    </w:tbl>
    <w:p w:rsidR="00BE7BFD" w:rsidRPr="00092B17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DA1F87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B76B48">
        <w:rPr>
          <w:rFonts w:ascii="Arial Narrow" w:hAnsi="Arial Narrow" w:cs="Arial"/>
          <w:i/>
          <w:sz w:val="22"/>
          <w:szCs w:val="24"/>
        </w:rPr>
        <w:t>Zamawiający</w:t>
      </w:r>
    </w:p>
    <w:p w:rsidR="00DA1F87" w:rsidRPr="00DA1F87" w:rsidRDefault="00DA1F87" w:rsidP="00DA1F87"/>
    <w:p w:rsidR="00DA1F87" w:rsidRPr="00DA1F87" w:rsidRDefault="00DA1F87" w:rsidP="00DA1F87"/>
    <w:p w:rsidR="006D4AB3" w:rsidRDefault="00DA1F87" w:rsidP="00DA1F87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4 ark.</w:t>
      </w:r>
    </w:p>
    <w:p w:rsidR="00DA1F87" w:rsidRDefault="00DA1F87" w:rsidP="00DA1F87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DA1F87" w:rsidRDefault="00DA1F87" w:rsidP="00DA1F87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DA1F87" w:rsidRDefault="00DA1F87" w:rsidP="00DA1F8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F60D5B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DA1F87" w:rsidRPr="00DA1F87" w:rsidRDefault="00DA1F87" w:rsidP="00DA1F87">
      <w:pPr>
        <w:rPr>
          <w:rFonts w:ascii="Arial Narrow" w:hAnsi="Arial Narrow"/>
        </w:rPr>
      </w:pPr>
      <w:r>
        <w:rPr>
          <w:rFonts w:ascii="Arial Narrow" w:hAnsi="Arial Narrow"/>
        </w:rPr>
        <w:t>Data: 2025-04-2</w:t>
      </w:r>
      <w:r w:rsidR="00966D7A">
        <w:rPr>
          <w:rFonts w:ascii="Arial Narrow" w:hAnsi="Arial Narrow"/>
        </w:rPr>
        <w:t>5</w:t>
      </w:r>
    </w:p>
    <w:sectPr w:rsidR="00DA1F87" w:rsidRPr="00DA1F87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6BF" w:rsidRDefault="00DB76BF">
      <w:r>
        <w:separator/>
      </w:r>
    </w:p>
  </w:endnote>
  <w:endnote w:type="continuationSeparator" w:id="1">
    <w:p w:rsidR="00DB76BF" w:rsidRDefault="00DB7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E719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E719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E7191" w:rsidRPr="00B862CC">
      <w:rPr>
        <w:rFonts w:ascii="Arial" w:hAnsi="Arial"/>
        <w:sz w:val="18"/>
        <w:szCs w:val="24"/>
      </w:rPr>
      <w:fldChar w:fldCharType="separate"/>
    </w:r>
    <w:r w:rsidR="004F6BEA">
      <w:rPr>
        <w:rFonts w:ascii="Arial" w:hAnsi="Arial"/>
        <w:noProof/>
        <w:sz w:val="18"/>
        <w:szCs w:val="24"/>
      </w:rPr>
      <w:t>3</w:t>
    </w:r>
    <w:r w:rsidR="007E719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E719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E7191" w:rsidRPr="00B862CC">
      <w:rPr>
        <w:rFonts w:ascii="Arial" w:hAnsi="Arial"/>
        <w:sz w:val="18"/>
        <w:szCs w:val="24"/>
      </w:rPr>
      <w:fldChar w:fldCharType="separate"/>
    </w:r>
    <w:r w:rsidR="004F6BEA">
      <w:rPr>
        <w:rFonts w:ascii="Arial" w:hAnsi="Arial"/>
        <w:noProof/>
        <w:sz w:val="18"/>
        <w:szCs w:val="24"/>
      </w:rPr>
      <w:t>7</w:t>
    </w:r>
    <w:r w:rsidR="007E7191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E719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12A4E" w:rsidRPr="00E12A4E">
        <w:rPr>
          <w:rStyle w:val="Numerstrony"/>
          <w:noProof/>
        </w:rPr>
        <w:t>7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6BF" w:rsidRDefault="00DB76BF">
      <w:r>
        <w:separator/>
      </w:r>
    </w:p>
  </w:footnote>
  <w:footnote w:type="continuationSeparator" w:id="1">
    <w:p w:rsidR="00DB76BF" w:rsidRDefault="00DB76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4C5" w:rsidRDefault="004C54C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4C5" w:rsidRDefault="004C54C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4C5" w:rsidRDefault="004C54C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61CA0"/>
    <w:multiLevelType w:val="hybridMultilevel"/>
    <w:tmpl w:val="53149368"/>
    <w:lvl w:ilvl="0" w:tplc="5830909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50D0E53"/>
    <w:multiLevelType w:val="hybridMultilevel"/>
    <w:tmpl w:val="06CAE078"/>
    <w:lvl w:ilvl="0" w:tplc="3478441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C263F2B"/>
    <w:multiLevelType w:val="hybridMultilevel"/>
    <w:tmpl w:val="45DEA4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D4F01C2"/>
    <w:multiLevelType w:val="hybridMultilevel"/>
    <w:tmpl w:val="63981E26"/>
    <w:lvl w:ilvl="0" w:tplc="E4F080B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8"/>
  </w:num>
  <w:num w:numId="9">
    <w:abstractNumId w:val="10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54C5"/>
    <w:rsid w:val="00031374"/>
    <w:rsid w:val="00051F87"/>
    <w:rsid w:val="00092B17"/>
    <w:rsid w:val="000A1097"/>
    <w:rsid w:val="000D4508"/>
    <w:rsid w:val="000E2A8F"/>
    <w:rsid w:val="0012774F"/>
    <w:rsid w:val="00144B7A"/>
    <w:rsid w:val="00180C6E"/>
    <w:rsid w:val="00265E36"/>
    <w:rsid w:val="00284769"/>
    <w:rsid w:val="0029606A"/>
    <w:rsid w:val="00350B68"/>
    <w:rsid w:val="003B55A3"/>
    <w:rsid w:val="003F22CC"/>
    <w:rsid w:val="004848F3"/>
    <w:rsid w:val="004A75F2"/>
    <w:rsid w:val="004C54C5"/>
    <w:rsid w:val="004E4B64"/>
    <w:rsid w:val="004F6BEA"/>
    <w:rsid w:val="005144A9"/>
    <w:rsid w:val="00520165"/>
    <w:rsid w:val="00522CAD"/>
    <w:rsid w:val="005B1B08"/>
    <w:rsid w:val="005D364E"/>
    <w:rsid w:val="005F3BB6"/>
    <w:rsid w:val="006007E2"/>
    <w:rsid w:val="00632C3C"/>
    <w:rsid w:val="006337A3"/>
    <w:rsid w:val="00634FBE"/>
    <w:rsid w:val="00643741"/>
    <w:rsid w:val="00662BDB"/>
    <w:rsid w:val="006A5DF1"/>
    <w:rsid w:val="006B7198"/>
    <w:rsid w:val="006D4AB3"/>
    <w:rsid w:val="006F3B81"/>
    <w:rsid w:val="007D7198"/>
    <w:rsid w:val="007E7191"/>
    <w:rsid w:val="008011EC"/>
    <w:rsid w:val="00843A88"/>
    <w:rsid w:val="00864A4B"/>
    <w:rsid w:val="00870F9F"/>
    <w:rsid w:val="008804B6"/>
    <w:rsid w:val="00897AB0"/>
    <w:rsid w:val="008A3553"/>
    <w:rsid w:val="00901838"/>
    <w:rsid w:val="00966D7A"/>
    <w:rsid w:val="00984531"/>
    <w:rsid w:val="00A20436"/>
    <w:rsid w:val="00A36BA4"/>
    <w:rsid w:val="00A905AC"/>
    <w:rsid w:val="00AD1FAC"/>
    <w:rsid w:val="00B76B48"/>
    <w:rsid w:val="00BA6584"/>
    <w:rsid w:val="00BE7BFD"/>
    <w:rsid w:val="00C370F2"/>
    <w:rsid w:val="00C44EEC"/>
    <w:rsid w:val="00C46732"/>
    <w:rsid w:val="00C57048"/>
    <w:rsid w:val="00D22FFA"/>
    <w:rsid w:val="00D334B4"/>
    <w:rsid w:val="00D56DE8"/>
    <w:rsid w:val="00D8461B"/>
    <w:rsid w:val="00D915F2"/>
    <w:rsid w:val="00DA0919"/>
    <w:rsid w:val="00DA1F87"/>
    <w:rsid w:val="00DB76BF"/>
    <w:rsid w:val="00DC3CA8"/>
    <w:rsid w:val="00DF32E8"/>
    <w:rsid w:val="00DF53CA"/>
    <w:rsid w:val="00DF56B9"/>
    <w:rsid w:val="00E12A4E"/>
    <w:rsid w:val="00E21B49"/>
    <w:rsid w:val="00E2789F"/>
    <w:rsid w:val="00E72428"/>
    <w:rsid w:val="00E74BC3"/>
    <w:rsid w:val="00E935D6"/>
    <w:rsid w:val="00EA14B3"/>
    <w:rsid w:val="00EA416E"/>
    <w:rsid w:val="00F4120C"/>
    <w:rsid w:val="00F4156F"/>
    <w:rsid w:val="00F55909"/>
    <w:rsid w:val="00FA0BD1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7048"/>
  </w:style>
  <w:style w:type="paragraph" w:styleId="Nagwek1">
    <w:name w:val="heading 1"/>
    <w:basedOn w:val="Normalny"/>
    <w:next w:val="Normalny"/>
    <w:qFormat/>
    <w:rsid w:val="00C5704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5704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570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570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57048"/>
  </w:style>
  <w:style w:type="paragraph" w:styleId="Tekstpodstawowywcity">
    <w:name w:val="Body Text Indent"/>
    <w:basedOn w:val="Normalny"/>
    <w:rsid w:val="00C5704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5704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5704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57048"/>
    <w:rPr>
      <w:sz w:val="28"/>
    </w:rPr>
  </w:style>
  <w:style w:type="paragraph" w:styleId="Tekstpodstawowywcity3">
    <w:name w:val="Body Text Indent 3"/>
    <w:basedOn w:val="Normalny"/>
    <w:rsid w:val="00C5704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643741"/>
    <w:pPr>
      <w:ind w:left="708"/>
    </w:pPr>
    <w:rPr>
      <w:sz w:val="24"/>
      <w:szCs w:val="24"/>
    </w:rPr>
  </w:style>
  <w:style w:type="character" w:customStyle="1" w:styleId="AkapitzlistZnak">
    <w:name w:val="Akapit z listą Znak"/>
    <w:aliases w:val="sw tekst Znak,L1 Znak,Numerowanie Znak,Akapit z listą BS Znak,normalny tekst Znak,CW_Lista Znak"/>
    <w:link w:val="Akapitzlist"/>
    <w:uiPriority w:val="34"/>
    <w:qFormat/>
    <w:locked/>
    <w:rsid w:val="00643741"/>
    <w:rPr>
      <w:sz w:val="24"/>
      <w:szCs w:val="24"/>
    </w:rPr>
  </w:style>
  <w:style w:type="character" w:styleId="Hipercze">
    <w:name w:val="Hyperlink"/>
    <w:basedOn w:val="Domylnaczcionkaakapitu"/>
    <w:rsid w:val="00DA1F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106</TotalTime>
  <Pages>7</Pages>
  <Words>2131</Words>
  <Characters>13050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30</cp:revision>
  <cp:lastPrinted>2025-04-25T08:13:00Z</cp:lastPrinted>
  <dcterms:created xsi:type="dcterms:W3CDTF">2025-04-24T06:32:00Z</dcterms:created>
  <dcterms:modified xsi:type="dcterms:W3CDTF">2025-04-25T08:19:00Z</dcterms:modified>
</cp:coreProperties>
</file>