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06472" w14:textId="07CBFDB2" w:rsidR="00D74CD3" w:rsidRPr="00D74CD3" w:rsidRDefault="00D74CD3" w:rsidP="00D74CD3">
      <w:pPr>
        <w:jc w:val="right"/>
        <w:rPr>
          <w:rFonts w:ascii="Arial" w:hAnsi="Arial" w:cs="Arial"/>
        </w:rPr>
      </w:pPr>
      <w:r w:rsidRPr="00D74CD3">
        <w:rPr>
          <w:rFonts w:ascii="Arial" w:hAnsi="Arial" w:cs="Arial"/>
        </w:rPr>
        <w:t>Załącznik A do SWZ</w:t>
      </w:r>
    </w:p>
    <w:p w14:paraId="4B0EAD35" w14:textId="77777777" w:rsidR="00D74CD3" w:rsidRDefault="00D74CD3">
      <w:pPr>
        <w:jc w:val="center"/>
        <w:rPr>
          <w:rFonts w:ascii="Arial" w:hAnsi="Arial" w:cs="Arial"/>
          <w:b/>
          <w:bCs/>
          <w:i/>
          <w:iCs/>
        </w:rPr>
      </w:pPr>
    </w:p>
    <w:p w14:paraId="67827BB6" w14:textId="37D03F06" w:rsidR="004A4C24" w:rsidRPr="00D74CD3" w:rsidRDefault="00833DF5">
      <w:pPr>
        <w:jc w:val="center"/>
        <w:rPr>
          <w:rFonts w:ascii="Arial" w:hAnsi="Arial" w:cs="Arial"/>
          <w:b/>
          <w:bCs/>
          <w:i/>
          <w:iCs/>
        </w:rPr>
      </w:pPr>
      <w:r w:rsidRPr="00D74CD3">
        <w:rPr>
          <w:rFonts w:ascii="Arial" w:hAnsi="Arial" w:cs="Arial"/>
          <w:b/>
          <w:bCs/>
          <w:i/>
          <w:iCs/>
        </w:rPr>
        <w:t>Preparatywny system wysokosprawnej chromatografii cieczowej (HPLC)</w:t>
      </w:r>
    </w:p>
    <w:p w14:paraId="61D07DEE" w14:textId="77777777" w:rsidR="00D74CD3" w:rsidRDefault="00D74CD3">
      <w:pPr>
        <w:jc w:val="both"/>
        <w:rPr>
          <w:rFonts w:ascii="Arial" w:hAnsi="Arial" w:cs="Arial"/>
          <w:b/>
          <w:bCs/>
        </w:rPr>
      </w:pPr>
    </w:p>
    <w:p w14:paraId="13D0D0C2" w14:textId="0D17B6E7" w:rsidR="004A4C24" w:rsidRPr="00D74CD3" w:rsidRDefault="00833DF5">
      <w:pPr>
        <w:jc w:val="both"/>
        <w:rPr>
          <w:rFonts w:ascii="Arial" w:hAnsi="Arial" w:cs="Arial"/>
          <w:b/>
          <w:bCs/>
        </w:rPr>
      </w:pPr>
      <w:r w:rsidRPr="00D74CD3">
        <w:rPr>
          <w:rFonts w:ascii="Arial" w:hAnsi="Arial" w:cs="Arial"/>
          <w:b/>
          <w:bCs/>
        </w:rPr>
        <w:t>Jednostka centralna:</w:t>
      </w:r>
    </w:p>
    <w:p w14:paraId="4CE55B92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>Zintegrowany z urządzeniem komputer</w:t>
      </w:r>
      <w:r w:rsidRPr="00D74CD3">
        <w:rPr>
          <w:rFonts w:ascii="Arial" w:hAnsi="Arial" w:cs="Arial"/>
        </w:rPr>
        <w:t xml:space="preserve"> z oprogramowaniem opartym na systemie Windows 10 lub wyższym oraz ekranem dotykowym do sterowania funkcjami o przekątnej min. 15”.</w:t>
      </w:r>
    </w:p>
    <w:p w14:paraId="15F6D99E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>Oprogramowanie</w:t>
      </w:r>
      <w:r w:rsidRPr="00D74CD3">
        <w:rPr>
          <w:rFonts w:ascii="Arial" w:hAnsi="Arial" w:cs="Arial"/>
        </w:rPr>
        <w:t xml:space="preserve"> systemu powinno umożliwiać dostosowanie parametrów rozdziału w czasie rzeczywistym (przynajmniej: prędkość przepływu, gradient, ustawienie frakcjonowania) przy jednoczesnym kodowaniu zbieranych frakcji kolorowymi oznaczeniami. Oprogramowanie powinno również umożliwiać automatyczne dobranie jak najbardziej optymalnych parametrów rozdziału w tym rodzaju kolumny oraz gradientu w oparciu o dane wejściowe pozyskane z analizy TLC.</w:t>
      </w:r>
    </w:p>
    <w:p w14:paraId="3A073341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>Zintegrowane uchwyty do kolumn</w:t>
      </w:r>
      <w:r w:rsidRPr="00D74CD3">
        <w:rPr>
          <w:rFonts w:ascii="Arial" w:hAnsi="Arial" w:cs="Arial"/>
        </w:rPr>
        <w:t xml:space="preserve"> w ilości co najmniej 2 </w:t>
      </w:r>
      <w:proofErr w:type="spellStart"/>
      <w:r w:rsidRPr="00D74CD3">
        <w:rPr>
          <w:rFonts w:ascii="Arial" w:hAnsi="Arial" w:cs="Arial"/>
        </w:rPr>
        <w:t>szt</w:t>
      </w:r>
      <w:proofErr w:type="spellEnd"/>
      <w:r w:rsidRPr="00D74CD3">
        <w:rPr>
          <w:rFonts w:ascii="Arial" w:hAnsi="Arial" w:cs="Arial"/>
        </w:rPr>
        <w:t xml:space="preserve">, umożliwiające podłączenie do 5 kolumn </w:t>
      </w:r>
      <w:proofErr w:type="spellStart"/>
      <w:r w:rsidRPr="00D74CD3">
        <w:rPr>
          <w:rFonts w:ascii="Arial" w:hAnsi="Arial" w:cs="Arial"/>
        </w:rPr>
        <w:t>flash</w:t>
      </w:r>
      <w:proofErr w:type="spellEnd"/>
      <w:r w:rsidRPr="00D74CD3">
        <w:rPr>
          <w:rFonts w:ascii="Arial" w:hAnsi="Arial" w:cs="Arial"/>
        </w:rPr>
        <w:t xml:space="preserve"> o wielkości wypełnienia od 1g do min. 800g oraz pracę z kolumnami </w:t>
      </w:r>
      <w:proofErr w:type="spellStart"/>
      <w:r w:rsidRPr="00D74CD3">
        <w:rPr>
          <w:rFonts w:ascii="Arial" w:hAnsi="Arial" w:cs="Arial"/>
        </w:rPr>
        <w:t>semi</w:t>
      </w:r>
      <w:proofErr w:type="spellEnd"/>
      <w:r w:rsidRPr="00D74CD3">
        <w:rPr>
          <w:rFonts w:ascii="Arial" w:hAnsi="Arial" w:cs="Arial"/>
        </w:rPr>
        <w:t xml:space="preserve">-preparatywnymi, preparatywnymi oraz typu </w:t>
      </w:r>
      <w:proofErr w:type="spellStart"/>
      <w:r w:rsidRPr="00D74CD3">
        <w:rPr>
          <w:rFonts w:ascii="Arial" w:hAnsi="Arial" w:cs="Arial"/>
        </w:rPr>
        <w:t>flash</w:t>
      </w:r>
      <w:proofErr w:type="spellEnd"/>
      <w:r w:rsidRPr="00D74CD3">
        <w:rPr>
          <w:rFonts w:ascii="Arial" w:hAnsi="Arial" w:cs="Arial"/>
        </w:rPr>
        <w:t>.</w:t>
      </w:r>
    </w:p>
    <w:p w14:paraId="41460893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>Zintegrowane elektrozawory</w:t>
      </w:r>
      <w:r w:rsidRPr="00D74CD3">
        <w:rPr>
          <w:rFonts w:ascii="Arial" w:hAnsi="Arial" w:cs="Arial"/>
        </w:rPr>
        <w:t xml:space="preserve"> sterowane z poziomu oprogramowania – co najmniej 2 </w:t>
      </w:r>
      <w:proofErr w:type="spellStart"/>
      <w:r w:rsidRPr="00D74CD3">
        <w:rPr>
          <w:rFonts w:ascii="Arial" w:hAnsi="Arial" w:cs="Arial"/>
        </w:rPr>
        <w:t>szt</w:t>
      </w:r>
      <w:proofErr w:type="spellEnd"/>
      <w:r w:rsidRPr="00D74CD3">
        <w:rPr>
          <w:rFonts w:ascii="Arial" w:hAnsi="Arial" w:cs="Arial"/>
        </w:rPr>
        <w:t xml:space="preserve"> w tym: przynajmniej jeden zawór minimum 6-ścio portowy oraz przynajmniej jeden zawór minimum 10-ęcio portowy, pętla </w:t>
      </w:r>
      <w:proofErr w:type="spellStart"/>
      <w:r w:rsidRPr="00D74CD3">
        <w:rPr>
          <w:rFonts w:ascii="Arial" w:hAnsi="Arial" w:cs="Arial"/>
        </w:rPr>
        <w:t>nastrzykowa</w:t>
      </w:r>
      <w:proofErr w:type="spellEnd"/>
      <w:r w:rsidRPr="00D74CD3">
        <w:rPr>
          <w:rFonts w:ascii="Arial" w:hAnsi="Arial" w:cs="Arial"/>
        </w:rPr>
        <w:t xml:space="preserve"> o objętości co najmniej 2 ml.</w:t>
      </w:r>
    </w:p>
    <w:p w14:paraId="36C3BF94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>Zintegrowane zestawy</w:t>
      </w:r>
      <w:r w:rsidRPr="00D74CD3">
        <w:rPr>
          <w:rFonts w:ascii="Arial" w:hAnsi="Arial" w:cs="Arial"/>
        </w:rPr>
        <w:t>: czujników RFID, pozwalających na automatyczne wykrycie i rozpoznanie typu użytych statywów w kolektorze frakcji, oraz rodzaju podłączonych kolumn, czujników monitorujących poziom rozpuszczalników oraz odpadów, a także czujników nieszczelności zastosowanych w pompie, detektorze oraz kolektorze frakcji.</w:t>
      </w:r>
    </w:p>
    <w:p w14:paraId="0E9951E2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>Startowy zestaw instalacyjny</w:t>
      </w:r>
      <w:r w:rsidRPr="00D74CD3">
        <w:rPr>
          <w:rFonts w:ascii="Arial" w:hAnsi="Arial" w:cs="Arial"/>
        </w:rPr>
        <w:t xml:space="preserve"> powinien zawierać wszystkie narzędzia i elementy (podstawka pod rozpuszczalniki, co najmniej 4 butelki z dopasowanymi korkami, filtry, uszczelki, przewody, inne) umożliwiające prawidłowe uruchomienie oraz dalsze działanie urządzenia.</w:t>
      </w:r>
    </w:p>
    <w:p w14:paraId="2AE6F8A9" w14:textId="77777777" w:rsidR="004A4C24" w:rsidRPr="00D74CD3" w:rsidRDefault="00833DF5">
      <w:pPr>
        <w:spacing w:line="240" w:lineRule="auto"/>
        <w:jc w:val="both"/>
        <w:rPr>
          <w:rFonts w:ascii="Arial" w:hAnsi="Arial" w:cs="Arial"/>
          <w:b/>
          <w:bCs/>
        </w:rPr>
      </w:pPr>
      <w:r w:rsidRPr="00D74CD3">
        <w:rPr>
          <w:rFonts w:ascii="Arial" w:hAnsi="Arial" w:cs="Arial"/>
          <w:b/>
          <w:bCs/>
        </w:rPr>
        <w:t xml:space="preserve">Pompa gradientowa, niskociśnieniowa </w:t>
      </w:r>
    </w:p>
    <w:p w14:paraId="79DE2FA7" w14:textId="4BD2A56A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Formowanie gradientu co najmniej czteroskładniowego, krok gradientu nie więcej niż 0,1%</w:t>
      </w:r>
      <w:r w:rsidR="00D74CD3">
        <w:rPr>
          <w:rFonts w:ascii="Arial" w:hAnsi="Arial" w:cs="Arial"/>
        </w:rPr>
        <w:t>.</w:t>
      </w:r>
    </w:p>
    <w:p w14:paraId="5BD705B7" w14:textId="5DFAB446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Przepływ eluentów w zakresie co najmniej 1-250ml/min przy dokładności przepływu nie gorszej niż ±2%</w:t>
      </w:r>
      <w:r w:rsidR="00D74CD3">
        <w:rPr>
          <w:rFonts w:ascii="Arial" w:hAnsi="Arial" w:cs="Arial"/>
        </w:rPr>
        <w:t>.</w:t>
      </w:r>
    </w:p>
    <w:p w14:paraId="6303149F" w14:textId="16315800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Ciśnienie – co najmniej 250 bar w całym zakresie przepływu</w:t>
      </w:r>
      <w:r w:rsidR="00D74CD3">
        <w:rPr>
          <w:rFonts w:ascii="Arial" w:hAnsi="Arial" w:cs="Arial"/>
        </w:rPr>
        <w:t>.</w:t>
      </w:r>
    </w:p>
    <w:p w14:paraId="083AFB1F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Zawór umożliwiający osuszanie kolumn powietrzem.</w:t>
      </w:r>
    </w:p>
    <w:p w14:paraId="59C08231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  <w:b/>
          <w:bCs/>
        </w:rPr>
        <w:t xml:space="preserve">Detektor UV-VIS z matrycą diodową (DAD, ang. </w:t>
      </w:r>
      <w:proofErr w:type="spellStart"/>
      <w:r w:rsidRPr="00D74CD3">
        <w:rPr>
          <w:rFonts w:ascii="Arial" w:hAnsi="Arial" w:cs="Arial"/>
          <w:b/>
          <w:bCs/>
          <w:i/>
          <w:iCs/>
        </w:rPr>
        <w:t>Diode</w:t>
      </w:r>
      <w:proofErr w:type="spellEnd"/>
      <w:r w:rsidRPr="00D74CD3">
        <w:rPr>
          <w:rFonts w:ascii="Arial" w:hAnsi="Arial" w:cs="Arial"/>
          <w:b/>
          <w:bCs/>
          <w:i/>
          <w:iCs/>
        </w:rPr>
        <w:t> </w:t>
      </w:r>
      <w:proofErr w:type="spellStart"/>
      <w:r w:rsidRPr="00D74CD3">
        <w:rPr>
          <w:rFonts w:ascii="Arial" w:hAnsi="Arial" w:cs="Arial"/>
          <w:b/>
          <w:bCs/>
          <w:i/>
          <w:iCs/>
        </w:rPr>
        <w:t>Array</w:t>
      </w:r>
      <w:proofErr w:type="spellEnd"/>
      <w:r w:rsidRPr="00D74CD3">
        <w:rPr>
          <w:rFonts w:ascii="Arial" w:hAnsi="Arial" w:cs="Arial"/>
          <w:b/>
          <w:bCs/>
          <w:i/>
          <w:iCs/>
        </w:rPr>
        <w:t> </w:t>
      </w:r>
      <w:proofErr w:type="spellStart"/>
      <w:r w:rsidRPr="00D74CD3">
        <w:rPr>
          <w:rFonts w:ascii="Arial" w:hAnsi="Arial" w:cs="Arial"/>
          <w:b/>
          <w:bCs/>
          <w:i/>
          <w:iCs/>
        </w:rPr>
        <w:t>Detector</w:t>
      </w:r>
      <w:proofErr w:type="spellEnd"/>
      <w:r w:rsidRPr="00D74CD3">
        <w:rPr>
          <w:rFonts w:ascii="Arial" w:hAnsi="Arial" w:cs="Arial"/>
          <w:b/>
          <w:bCs/>
        </w:rPr>
        <w:t>) zintegrowany z urządzeniem</w:t>
      </w:r>
      <w:r w:rsidRPr="00D74CD3">
        <w:rPr>
          <w:rFonts w:ascii="Arial" w:hAnsi="Arial" w:cs="Arial"/>
        </w:rPr>
        <w:t>:</w:t>
      </w:r>
    </w:p>
    <w:p w14:paraId="494F78E7" w14:textId="552F2B8B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Celka pomiarowa o długości drogi optycznej 0,3mm i objętości celi nie większej niż 40µl</w:t>
      </w:r>
      <w:r w:rsidR="00D74CD3">
        <w:rPr>
          <w:rFonts w:ascii="Arial" w:hAnsi="Arial" w:cs="Arial"/>
        </w:rPr>
        <w:t>.</w:t>
      </w:r>
    </w:p>
    <w:p w14:paraId="08DE0D5D" w14:textId="3EE939D0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Obsługiwany zakres spektralny nie mniejszy niż 200-800nm</w:t>
      </w:r>
      <w:r w:rsidR="00D74CD3">
        <w:rPr>
          <w:rFonts w:ascii="Arial" w:hAnsi="Arial" w:cs="Arial"/>
        </w:rPr>
        <w:t>.</w:t>
      </w:r>
    </w:p>
    <w:p w14:paraId="49B35B49" w14:textId="1D4D1BA1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Dokładność ustawienia długości fali: nie gorsza niż ±1nm</w:t>
      </w:r>
      <w:r w:rsidR="00D74CD3">
        <w:rPr>
          <w:rFonts w:ascii="Arial" w:hAnsi="Arial" w:cs="Arial"/>
        </w:rPr>
        <w:t>.</w:t>
      </w:r>
    </w:p>
    <w:p w14:paraId="00C1E9B2" w14:textId="02D0AA3C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Możliwość równoczesnej detekcji przy minimum czterech, dowolnie wybranych długościach fali</w:t>
      </w:r>
      <w:r w:rsidR="00D74CD3">
        <w:rPr>
          <w:rFonts w:ascii="Arial" w:hAnsi="Arial" w:cs="Arial"/>
        </w:rPr>
        <w:t>.</w:t>
      </w:r>
    </w:p>
    <w:p w14:paraId="2A2F13E7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Możliwość potwierdzenia czystości piku.</w:t>
      </w:r>
    </w:p>
    <w:p w14:paraId="6B1B4E46" w14:textId="77777777" w:rsidR="004A4C24" w:rsidRPr="00071722" w:rsidRDefault="00833DF5">
      <w:pPr>
        <w:spacing w:line="240" w:lineRule="auto"/>
        <w:jc w:val="both"/>
        <w:rPr>
          <w:rFonts w:ascii="Arial" w:hAnsi="Arial" w:cs="Arial"/>
          <w:lang w:val="en-US"/>
        </w:rPr>
      </w:pPr>
      <w:r w:rsidRPr="00D74CD3">
        <w:rPr>
          <w:rFonts w:ascii="Arial" w:hAnsi="Arial" w:cs="Arial"/>
          <w:b/>
          <w:bCs/>
        </w:rPr>
        <w:lastRenderedPageBreak/>
        <w:t xml:space="preserve">Detektor rozpraszania światła (ELSD, ang. </w:t>
      </w:r>
      <w:r w:rsidRPr="00071722">
        <w:rPr>
          <w:rFonts w:ascii="Arial" w:hAnsi="Arial" w:cs="Arial"/>
          <w:b/>
          <w:bCs/>
          <w:i/>
          <w:iCs/>
          <w:lang w:val="en-US"/>
        </w:rPr>
        <w:t>Evaporative Light Scattering Detector</w:t>
      </w:r>
      <w:r w:rsidRPr="00071722">
        <w:rPr>
          <w:rFonts w:ascii="Arial" w:hAnsi="Arial" w:cs="Arial"/>
          <w:b/>
          <w:bCs/>
          <w:lang w:val="en-US"/>
        </w:rPr>
        <w:t xml:space="preserve">) </w:t>
      </w:r>
      <w:proofErr w:type="spellStart"/>
      <w:r w:rsidRPr="00071722">
        <w:rPr>
          <w:rFonts w:ascii="Arial" w:hAnsi="Arial" w:cs="Arial"/>
          <w:b/>
          <w:bCs/>
          <w:lang w:val="en-US"/>
        </w:rPr>
        <w:t>zintegrowany</w:t>
      </w:r>
      <w:proofErr w:type="spellEnd"/>
      <w:r w:rsidRPr="00071722">
        <w:rPr>
          <w:rFonts w:ascii="Arial" w:hAnsi="Arial" w:cs="Arial"/>
          <w:b/>
          <w:bCs/>
          <w:lang w:val="en-US"/>
        </w:rPr>
        <w:t xml:space="preserve"> z </w:t>
      </w:r>
      <w:proofErr w:type="spellStart"/>
      <w:r w:rsidRPr="00071722">
        <w:rPr>
          <w:rFonts w:ascii="Arial" w:hAnsi="Arial" w:cs="Arial"/>
          <w:b/>
          <w:bCs/>
          <w:lang w:val="en-US"/>
        </w:rPr>
        <w:t>urządzeniem</w:t>
      </w:r>
      <w:proofErr w:type="spellEnd"/>
      <w:r w:rsidRPr="00071722">
        <w:rPr>
          <w:rFonts w:ascii="Arial" w:hAnsi="Arial" w:cs="Arial"/>
          <w:b/>
          <w:bCs/>
          <w:lang w:val="en-US"/>
        </w:rPr>
        <w:t>:</w:t>
      </w:r>
    </w:p>
    <w:p w14:paraId="1196B21B" w14:textId="41CFEA8A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Źródło światła: dioda LED (470nm)</w:t>
      </w:r>
      <w:r w:rsidR="00D74CD3">
        <w:rPr>
          <w:rFonts w:ascii="Arial" w:hAnsi="Arial" w:cs="Arial"/>
        </w:rPr>
        <w:t>.</w:t>
      </w:r>
    </w:p>
    <w:p w14:paraId="5D3B696F" w14:textId="2FE4243A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Zakres temperatury nebulizacji w zakresie nie węższym niż: temp. otoczenia do 100</w:t>
      </w:r>
      <w:r w:rsidRPr="00D74CD3">
        <w:rPr>
          <w:rFonts w:ascii="Arial" w:hAnsi="Arial" w:cs="Arial"/>
          <w:vertAlign w:val="superscript"/>
        </w:rPr>
        <w:t>o</w:t>
      </w:r>
      <w:r w:rsidRPr="00D74CD3">
        <w:rPr>
          <w:rFonts w:ascii="Arial" w:hAnsi="Arial" w:cs="Arial"/>
        </w:rPr>
        <w:t>C</w:t>
      </w:r>
      <w:r w:rsidR="00D74CD3">
        <w:rPr>
          <w:rFonts w:ascii="Arial" w:hAnsi="Arial" w:cs="Arial"/>
        </w:rPr>
        <w:t>.</w:t>
      </w:r>
    </w:p>
    <w:p w14:paraId="4B48A6EF" w14:textId="0A1BF7D8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Zużycie azotu nie większe niż 1,5L/min przy ciśnieniu nie przekraczającym 1bar</w:t>
      </w:r>
      <w:r w:rsidR="00D74CD3">
        <w:rPr>
          <w:rFonts w:ascii="Arial" w:hAnsi="Arial" w:cs="Arial"/>
        </w:rPr>
        <w:t>.</w:t>
      </w:r>
    </w:p>
    <w:p w14:paraId="3D38EFF9" w14:textId="0B0CBE94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 xml:space="preserve">Zakres oznaczeń od kilku miligram do kilkuset gram próbki przy czułości na poziomie &lt;100 </w:t>
      </w:r>
      <w:proofErr w:type="spellStart"/>
      <w:r w:rsidRPr="00D74CD3">
        <w:rPr>
          <w:rFonts w:ascii="Arial" w:hAnsi="Arial" w:cs="Arial"/>
        </w:rPr>
        <w:t>ng</w:t>
      </w:r>
      <w:proofErr w:type="spellEnd"/>
      <w:r w:rsidRPr="00D74CD3">
        <w:rPr>
          <w:rFonts w:ascii="Arial" w:hAnsi="Arial" w:cs="Arial"/>
        </w:rPr>
        <w:t xml:space="preserve"> dla kofeiny jako substancji odniesienia (LOD)</w:t>
      </w:r>
      <w:r w:rsidR="00D74CD3">
        <w:rPr>
          <w:rFonts w:ascii="Arial" w:hAnsi="Arial" w:cs="Arial"/>
        </w:rPr>
        <w:t>.</w:t>
      </w:r>
    </w:p>
    <w:p w14:paraId="4C5AF26E" w14:textId="7C943A00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Wbudowana funkcja dynamicznego podziału: maks. 40 µl/min dla próbek kierowanych do detektora ELSD</w:t>
      </w:r>
      <w:r w:rsidR="00D74CD3">
        <w:rPr>
          <w:rFonts w:ascii="Arial" w:hAnsi="Arial" w:cs="Arial"/>
        </w:rPr>
        <w:t>.</w:t>
      </w:r>
    </w:p>
    <w:p w14:paraId="58135108" w14:textId="0DFAAFEF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 xml:space="preserve">Wbudowana funkcja automatycznego czyszczenia </w:t>
      </w:r>
      <w:proofErr w:type="spellStart"/>
      <w:r w:rsidRPr="00D74CD3">
        <w:rPr>
          <w:rFonts w:ascii="Arial" w:hAnsi="Arial" w:cs="Arial"/>
        </w:rPr>
        <w:t>splitera</w:t>
      </w:r>
      <w:proofErr w:type="spellEnd"/>
      <w:r w:rsidRPr="00D74CD3">
        <w:rPr>
          <w:rFonts w:ascii="Arial" w:hAnsi="Arial" w:cs="Arial"/>
        </w:rPr>
        <w:t xml:space="preserve"> oraz </w:t>
      </w:r>
      <w:proofErr w:type="spellStart"/>
      <w:r w:rsidRPr="00D74CD3">
        <w:rPr>
          <w:rFonts w:ascii="Arial" w:hAnsi="Arial" w:cs="Arial"/>
        </w:rPr>
        <w:t>nabulizera</w:t>
      </w:r>
      <w:proofErr w:type="spellEnd"/>
      <w:r w:rsidR="00D74CD3">
        <w:rPr>
          <w:rFonts w:ascii="Arial" w:hAnsi="Arial" w:cs="Arial"/>
        </w:rPr>
        <w:t>.</w:t>
      </w:r>
    </w:p>
    <w:p w14:paraId="78188F65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Automatyczne dostosowanie czułości detektora w zależności od intensywności analizowanego sygnału.</w:t>
      </w:r>
    </w:p>
    <w:p w14:paraId="614220AF" w14:textId="77777777" w:rsidR="004A4C24" w:rsidRPr="00D74CD3" w:rsidRDefault="00833DF5">
      <w:pPr>
        <w:spacing w:line="240" w:lineRule="auto"/>
        <w:jc w:val="both"/>
        <w:rPr>
          <w:rFonts w:ascii="Arial" w:hAnsi="Arial" w:cs="Arial"/>
          <w:b/>
          <w:bCs/>
        </w:rPr>
      </w:pPr>
      <w:r w:rsidRPr="00D74CD3">
        <w:rPr>
          <w:rFonts w:ascii="Arial" w:hAnsi="Arial" w:cs="Arial"/>
          <w:b/>
          <w:bCs/>
        </w:rPr>
        <w:t>Kolektor frakcji:</w:t>
      </w:r>
    </w:p>
    <w:p w14:paraId="40ECB151" w14:textId="4CA75E88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Pojemność na metalowe statywy zapewniające obsługę co najmniej 130 standardowych probówek szklanych o wymiarach 18x150mm</w:t>
      </w:r>
      <w:r w:rsidR="00D74CD3">
        <w:rPr>
          <w:rFonts w:ascii="Arial" w:hAnsi="Arial" w:cs="Arial"/>
        </w:rPr>
        <w:t>.</w:t>
      </w:r>
      <w:r w:rsidRPr="00D74CD3">
        <w:rPr>
          <w:rFonts w:ascii="Arial" w:hAnsi="Arial" w:cs="Arial"/>
        </w:rPr>
        <w:t xml:space="preserve"> </w:t>
      </w:r>
    </w:p>
    <w:p w14:paraId="535B3ECD" w14:textId="49D5BBBC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Możliwość obsługi statywów na probówki o standardowych wymiarach 13x100mm, 16x150mm, 21x150mm, 25x150mm, 28x150mm oraz 29,5x200mm</w:t>
      </w:r>
      <w:r w:rsidR="00D74CD3">
        <w:rPr>
          <w:rFonts w:ascii="Arial" w:hAnsi="Arial" w:cs="Arial"/>
        </w:rPr>
        <w:t>.</w:t>
      </w:r>
    </w:p>
    <w:p w14:paraId="6E851829" w14:textId="5A1221FF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Zamykana komora prób, ograniczająca wydostawanie się oparów rozpuszczalników na zewnątrz</w:t>
      </w:r>
      <w:r w:rsidR="00D74CD3">
        <w:rPr>
          <w:rFonts w:ascii="Arial" w:hAnsi="Arial" w:cs="Arial"/>
        </w:rPr>
        <w:t>.</w:t>
      </w:r>
      <w:r w:rsidRPr="00D74CD3">
        <w:rPr>
          <w:rFonts w:ascii="Arial" w:hAnsi="Arial" w:cs="Arial"/>
        </w:rPr>
        <w:t xml:space="preserve"> </w:t>
      </w:r>
    </w:p>
    <w:p w14:paraId="02FCC6FF" w14:textId="7777777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 xml:space="preserve">Kryteria frakcjonowania wycieku z kolumny powinny obejmować co najmniej: objętość, krzywą UV-Vis, obsługę manualną w czasie rzeczywistym analizy. </w:t>
      </w:r>
    </w:p>
    <w:p w14:paraId="366ADFE8" w14:textId="77777777" w:rsidR="004A4C24" w:rsidRPr="00D74CD3" w:rsidRDefault="00833DF5">
      <w:pPr>
        <w:spacing w:line="240" w:lineRule="auto"/>
        <w:jc w:val="both"/>
        <w:rPr>
          <w:rFonts w:ascii="Arial" w:hAnsi="Arial" w:cs="Arial"/>
          <w:b/>
          <w:bCs/>
        </w:rPr>
      </w:pPr>
      <w:r w:rsidRPr="00D74CD3">
        <w:rPr>
          <w:rFonts w:ascii="Arial" w:hAnsi="Arial" w:cs="Arial"/>
          <w:b/>
          <w:bCs/>
        </w:rPr>
        <w:t>Wymagania dodatkowe:</w:t>
      </w:r>
    </w:p>
    <w:p w14:paraId="3D1C94C3" w14:textId="622F3B7F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System musi umożliwiać pracę zarówno w trybie preparatywnym (ciśnienie do 250 bar, przepływ 250ml/min), pół-preparatywnym jak i w trybie Flash (ciśnienie 20 bar, przepływ 150ml/min)</w:t>
      </w:r>
      <w:r w:rsidR="00D74CD3">
        <w:rPr>
          <w:rFonts w:ascii="Arial" w:hAnsi="Arial" w:cs="Arial"/>
        </w:rPr>
        <w:t>.</w:t>
      </w:r>
    </w:p>
    <w:p w14:paraId="0C83C047" w14:textId="2C02364C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System powinien umożliwiać podawanie próbki w postaci ciekłej i stałej przy jednoczesnej obsłudze kolumn preparatywnych, pół-preparatywnych oraz kolumn typu Flash</w:t>
      </w:r>
      <w:r w:rsidR="00D74CD3">
        <w:rPr>
          <w:rFonts w:ascii="Arial" w:hAnsi="Arial" w:cs="Arial"/>
        </w:rPr>
        <w:t>.</w:t>
      </w:r>
    </w:p>
    <w:p w14:paraId="3574298D" w14:textId="00C373EF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Oferowana aparatura musi być fabrycznie nowa</w:t>
      </w:r>
      <w:r w:rsidR="00D74CD3">
        <w:rPr>
          <w:rFonts w:ascii="Arial" w:hAnsi="Arial" w:cs="Arial"/>
        </w:rPr>
        <w:t>.</w:t>
      </w:r>
    </w:p>
    <w:p w14:paraId="446AE42F" w14:textId="6219D5BB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Instrukcja obsługi w języku polskim i/lub angielskim</w:t>
      </w:r>
      <w:r w:rsidR="00D74CD3">
        <w:rPr>
          <w:rFonts w:ascii="Arial" w:hAnsi="Arial" w:cs="Arial"/>
        </w:rPr>
        <w:t>.</w:t>
      </w:r>
    </w:p>
    <w:p w14:paraId="53C0B05F" w14:textId="0ED49007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Gwarancja nie mniej niż 24 miesiące</w:t>
      </w:r>
      <w:r w:rsidR="00D74CD3">
        <w:rPr>
          <w:rFonts w:ascii="Arial" w:hAnsi="Arial" w:cs="Arial"/>
        </w:rPr>
        <w:t>.</w:t>
      </w:r>
    </w:p>
    <w:p w14:paraId="223B096D" w14:textId="7B1514C1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Instalacja oraz instruktaż stanowiskowy w siedzibie użytkownika</w:t>
      </w:r>
      <w:r w:rsidR="00D74CD3">
        <w:rPr>
          <w:rFonts w:ascii="Arial" w:hAnsi="Arial" w:cs="Arial"/>
        </w:rPr>
        <w:t>.</w:t>
      </w:r>
    </w:p>
    <w:p w14:paraId="4DE55710" w14:textId="51A3C57C" w:rsidR="004A4C24" w:rsidRPr="00D74CD3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Aparatura musi posiadać certyfikat CE</w:t>
      </w:r>
      <w:r w:rsidR="00D74CD3">
        <w:rPr>
          <w:rFonts w:ascii="Arial" w:hAnsi="Arial" w:cs="Arial"/>
        </w:rPr>
        <w:t>.</w:t>
      </w:r>
    </w:p>
    <w:p w14:paraId="7249F10D" w14:textId="49DCA381" w:rsidR="004A4C24" w:rsidRDefault="00833DF5">
      <w:pPr>
        <w:spacing w:line="240" w:lineRule="auto"/>
        <w:jc w:val="both"/>
        <w:rPr>
          <w:rFonts w:ascii="Arial" w:hAnsi="Arial" w:cs="Arial"/>
        </w:rPr>
      </w:pPr>
      <w:r w:rsidRPr="00D74CD3">
        <w:rPr>
          <w:rFonts w:ascii="Arial" w:hAnsi="Arial" w:cs="Arial"/>
        </w:rPr>
        <w:t>Serwis urządzenia świadczony przez Wykonawcę.</w:t>
      </w:r>
    </w:p>
    <w:p w14:paraId="47DC6F92" w14:textId="6823FE05" w:rsidR="00B51174" w:rsidRDefault="00B51174" w:rsidP="00916481">
      <w:pPr>
        <w:pStyle w:val="Akapitzlist"/>
        <w:spacing w:before="60"/>
        <w:ind w:left="0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Czas reakcji serwisu: max. do 72 godzin od momentu zgłoszenia awarii [czas reakcji serwisu stanowi kryterium oceny ofert].</w:t>
      </w:r>
    </w:p>
    <w:p w14:paraId="283CF8B0" w14:textId="4060424E" w:rsidR="00916481" w:rsidRPr="00957A26" w:rsidRDefault="00916481" w:rsidP="00916481">
      <w:pPr>
        <w:pStyle w:val="Akapitzlist"/>
        <w:spacing w:before="60"/>
        <w:ind w:left="0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 xml:space="preserve">Czas naprawy: </w:t>
      </w:r>
      <w:r w:rsidRPr="00957A26">
        <w:rPr>
          <w:rFonts w:ascii="Arial" w:hAnsi="Arial" w:cs="Arial"/>
          <w:bCs/>
          <w:iCs/>
          <w:lang w:eastAsia="x-none"/>
        </w:rPr>
        <w:t>do 14 dni od momentu zgłoszenia awarii, do 30 dni w przypadku konieczności sprowadzenia części z zagranicy;</w:t>
      </w:r>
    </w:p>
    <w:p w14:paraId="30796C4C" w14:textId="77777777" w:rsidR="00916481" w:rsidRPr="00D74CD3" w:rsidRDefault="00916481">
      <w:pPr>
        <w:spacing w:line="240" w:lineRule="auto"/>
        <w:jc w:val="both"/>
        <w:rPr>
          <w:rFonts w:ascii="Arial" w:hAnsi="Arial" w:cs="Arial"/>
        </w:rPr>
      </w:pPr>
    </w:p>
    <w:sectPr w:rsidR="00916481" w:rsidRPr="00D74CD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EB4CB" w14:textId="77777777" w:rsidR="00C31F53" w:rsidRDefault="00C31F53">
      <w:pPr>
        <w:spacing w:after="0" w:line="240" w:lineRule="auto"/>
      </w:pPr>
      <w:r>
        <w:separator/>
      </w:r>
    </w:p>
  </w:endnote>
  <w:endnote w:type="continuationSeparator" w:id="0">
    <w:p w14:paraId="20B93E19" w14:textId="77777777" w:rsidR="00C31F53" w:rsidRDefault="00C31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E2F92" w14:textId="77777777" w:rsidR="00C31F53" w:rsidRDefault="00C31F5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DAE67A" w14:textId="77777777" w:rsidR="00C31F53" w:rsidRDefault="00C31F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C24"/>
    <w:rsid w:val="00054FCF"/>
    <w:rsid w:val="00071722"/>
    <w:rsid w:val="00436FA8"/>
    <w:rsid w:val="004A4C24"/>
    <w:rsid w:val="00714B53"/>
    <w:rsid w:val="00833DF5"/>
    <w:rsid w:val="00874A20"/>
    <w:rsid w:val="00916481"/>
    <w:rsid w:val="00AC1E15"/>
    <w:rsid w:val="00B51174"/>
    <w:rsid w:val="00BC1A67"/>
    <w:rsid w:val="00BF0894"/>
    <w:rsid w:val="00C31F53"/>
    <w:rsid w:val="00C4573F"/>
    <w:rsid w:val="00D728A3"/>
    <w:rsid w:val="00D74CD3"/>
    <w:rsid w:val="00DF6A12"/>
    <w:rsid w:val="00EE1596"/>
    <w:rsid w:val="00F2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C2C62"/>
  <w15:docId w15:val="{6B464ADA-6A5F-4E7E-8D4D-73DEEDD1E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20"/>
      <w:contextualSpacing/>
    </w:pPr>
  </w:style>
  <w:style w:type="character" w:styleId="Wyrnienieintensywne">
    <w:name w:val="Intense Emphasis"/>
    <w:basedOn w:val="Domylnaczcionkaakapitu"/>
    <w:rPr>
      <w:i/>
      <w:iCs/>
      <w:color w:val="0F4761"/>
    </w:rPr>
  </w:style>
  <w:style w:type="paragraph" w:styleId="Cytatintensywny">
    <w:name w:val="Intense Quote"/>
    <w:basedOn w:val="Normalny"/>
    <w:next w:val="Normalny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basedOn w:val="Domylnaczcionkaakapitu"/>
    <w:rPr>
      <w:i/>
      <w:iCs/>
      <w:color w:val="0F4761"/>
    </w:rPr>
  </w:style>
  <w:style w:type="character" w:styleId="Odwoanieintensywne">
    <w:name w:val="Intense Reference"/>
    <w:basedOn w:val="Domylnaczcionkaakapitu"/>
    <w:rPr>
      <w:b/>
      <w:bCs/>
      <w:smallCaps/>
      <w:color w:val="0F4761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7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7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7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7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7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722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916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Zwoliński</dc:creator>
  <dc:description/>
  <cp:lastModifiedBy>Dział Zamówień Publicznych</cp:lastModifiedBy>
  <cp:revision>2</cp:revision>
  <dcterms:created xsi:type="dcterms:W3CDTF">2025-06-09T10:14:00Z</dcterms:created>
  <dcterms:modified xsi:type="dcterms:W3CDTF">2025-06-09T10:14:00Z</dcterms:modified>
</cp:coreProperties>
</file>