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CAD17" w14:textId="77777777" w:rsidR="00843A88" w:rsidRPr="00B10395" w:rsidRDefault="00A01D2D" w:rsidP="00034712">
      <w:pPr>
        <w:jc w:val="right"/>
        <w:rPr>
          <w:rFonts w:ascii="Arial" w:hAnsi="Arial" w:cs="Arial"/>
          <w:sz w:val="22"/>
          <w:szCs w:val="22"/>
        </w:rPr>
      </w:pPr>
      <w:r w:rsidRPr="00B10395">
        <w:rPr>
          <w:rFonts w:ascii="Arial" w:hAnsi="Arial" w:cs="Arial"/>
          <w:sz w:val="22"/>
          <w:szCs w:val="22"/>
        </w:rPr>
        <w:t>Poznań</w:t>
      </w:r>
      <w:r w:rsidR="00843A88" w:rsidRPr="00B10395">
        <w:rPr>
          <w:rFonts w:ascii="Arial" w:hAnsi="Arial" w:cs="Arial"/>
          <w:sz w:val="22"/>
          <w:szCs w:val="22"/>
        </w:rPr>
        <w:t xml:space="preserve"> dnia: </w:t>
      </w:r>
      <w:r w:rsidRPr="00B10395">
        <w:rPr>
          <w:rFonts w:ascii="Arial" w:hAnsi="Arial" w:cs="Arial"/>
          <w:sz w:val="22"/>
          <w:szCs w:val="22"/>
        </w:rPr>
        <w:t>2025-06-12</w:t>
      </w:r>
    </w:p>
    <w:p w14:paraId="25890B45" w14:textId="77777777" w:rsidR="00A01D2D" w:rsidRPr="00B10395" w:rsidRDefault="00A01D2D" w:rsidP="00034712">
      <w:pPr>
        <w:rPr>
          <w:rFonts w:ascii="Arial" w:hAnsi="Arial" w:cs="Arial"/>
          <w:b/>
          <w:bCs/>
          <w:sz w:val="22"/>
          <w:szCs w:val="22"/>
        </w:rPr>
      </w:pPr>
      <w:r w:rsidRPr="00B1039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15822D96" w14:textId="77777777" w:rsidR="00843A88" w:rsidRPr="00B10395" w:rsidRDefault="00A01D2D" w:rsidP="00034712">
      <w:pPr>
        <w:rPr>
          <w:rFonts w:ascii="Arial" w:hAnsi="Arial" w:cs="Arial"/>
          <w:b/>
          <w:bCs/>
          <w:sz w:val="22"/>
          <w:szCs w:val="22"/>
        </w:rPr>
      </w:pPr>
      <w:r w:rsidRPr="00B1039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3E1B8CF6" w14:textId="77777777" w:rsidR="00843A88" w:rsidRPr="00B10395" w:rsidRDefault="00A01D2D" w:rsidP="00034712">
      <w:pPr>
        <w:rPr>
          <w:rFonts w:ascii="Arial" w:hAnsi="Arial" w:cs="Arial"/>
          <w:sz w:val="22"/>
          <w:szCs w:val="22"/>
        </w:rPr>
      </w:pPr>
      <w:r w:rsidRPr="00B10395">
        <w:rPr>
          <w:rFonts w:ascii="Arial" w:hAnsi="Arial" w:cs="Arial"/>
          <w:sz w:val="22"/>
          <w:szCs w:val="22"/>
        </w:rPr>
        <w:t>Juraszów</w:t>
      </w:r>
      <w:r w:rsidR="00843A88" w:rsidRPr="00B10395">
        <w:rPr>
          <w:rFonts w:ascii="Arial" w:hAnsi="Arial" w:cs="Arial"/>
          <w:sz w:val="22"/>
          <w:szCs w:val="22"/>
        </w:rPr>
        <w:t xml:space="preserve"> </w:t>
      </w:r>
      <w:r w:rsidRPr="00B10395">
        <w:rPr>
          <w:rFonts w:ascii="Arial" w:hAnsi="Arial" w:cs="Arial"/>
          <w:sz w:val="22"/>
          <w:szCs w:val="22"/>
        </w:rPr>
        <w:t>7/19</w:t>
      </w:r>
    </w:p>
    <w:p w14:paraId="41FB9F6B" w14:textId="77777777" w:rsidR="00843A88" w:rsidRPr="00B10395" w:rsidRDefault="00A01D2D" w:rsidP="00034712">
      <w:pPr>
        <w:rPr>
          <w:rFonts w:ascii="Arial" w:hAnsi="Arial" w:cs="Arial"/>
          <w:sz w:val="22"/>
          <w:szCs w:val="22"/>
        </w:rPr>
      </w:pPr>
      <w:r w:rsidRPr="00B10395">
        <w:rPr>
          <w:rFonts w:ascii="Arial" w:hAnsi="Arial" w:cs="Arial"/>
          <w:sz w:val="22"/>
          <w:szCs w:val="22"/>
        </w:rPr>
        <w:t>60-479</w:t>
      </w:r>
      <w:r w:rsidR="00843A88" w:rsidRPr="00B10395">
        <w:rPr>
          <w:rFonts w:ascii="Arial" w:hAnsi="Arial" w:cs="Arial"/>
          <w:sz w:val="22"/>
          <w:szCs w:val="22"/>
        </w:rPr>
        <w:t xml:space="preserve"> </w:t>
      </w:r>
      <w:r w:rsidRPr="00B10395">
        <w:rPr>
          <w:rFonts w:ascii="Arial" w:hAnsi="Arial" w:cs="Arial"/>
          <w:sz w:val="22"/>
          <w:szCs w:val="22"/>
        </w:rPr>
        <w:t>Poznań</w:t>
      </w:r>
    </w:p>
    <w:p w14:paraId="46A7351D" w14:textId="77777777" w:rsidR="00034712" w:rsidRPr="00B10395" w:rsidRDefault="00034712" w:rsidP="0003471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22"/>
          <w:szCs w:val="22"/>
        </w:rPr>
      </w:pPr>
    </w:p>
    <w:p w14:paraId="155E94B0" w14:textId="6BBCD794" w:rsidR="00843A88" w:rsidRPr="00B10395" w:rsidRDefault="00843A88" w:rsidP="0003471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2"/>
          <w:szCs w:val="22"/>
        </w:rPr>
      </w:pPr>
      <w:r w:rsidRPr="00B10395">
        <w:rPr>
          <w:rFonts w:ascii="Arial" w:hAnsi="Arial" w:cs="Arial"/>
          <w:b/>
          <w:sz w:val="22"/>
          <w:szCs w:val="22"/>
        </w:rPr>
        <w:t>WYKONAWCY</w:t>
      </w:r>
    </w:p>
    <w:p w14:paraId="687AF130" w14:textId="77777777" w:rsidR="00843A88" w:rsidRPr="00B10395" w:rsidRDefault="00843A88" w:rsidP="0003471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  <w:r w:rsidRPr="00B10395">
        <w:rPr>
          <w:rFonts w:ascii="Arial" w:hAnsi="Arial" w:cs="Arial"/>
          <w:sz w:val="22"/>
          <w:szCs w:val="22"/>
        </w:rPr>
        <w:t>ubiegający się o zamówienie</w:t>
      </w:r>
    </w:p>
    <w:p w14:paraId="4F130174" w14:textId="77777777" w:rsidR="00034712" w:rsidRPr="00B10395" w:rsidRDefault="00034712" w:rsidP="0003471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</w:p>
    <w:p w14:paraId="4F83A2B1" w14:textId="77777777" w:rsidR="004E4B64" w:rsidRPr="00B10395" w:rsidRDefault="004E4B64" w:rsidP="00034712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10395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B10395">
        <w:rPr>
          <w:rFonts w:ascii="Arial" w:hAnsi="Arial" w:cs="Arial"/>
          <w:sz w:val="22"/>
          <w:szCs w:val="22"/>
        </w:rPr>
        <w:t>postępowania o udzielenie zamówienia publicznego</w:t>
      </w:r>
      <w:r w:rsidRPr="00B10395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10395" w14:paraId="53AB392C" w14:textId="77777777" w:rsidTr="00FD4AEC">
        <w:tc>
          <w:tcPr>
            <w:tcW w:w="2269" w:type="dxa"/>
            <w:shd w:val="clear" w:color="auto" w:fill="auto"/>
          </w:tcPr>
          <w:p w14:paraId="08053B7E" w14:textId="77777777" w:rsidR="004E4B64" w:rsidRPr="00B10395" w:rsidRDefault="004E4B64" w:rsidP="0003471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C8066C" w14:textId="77777777" w:rsidR="004E4B64" w:rsidRPr="00B10395" w:rsidRDefault="00A01D2D" w:rsidP="0003471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10395">
              <w:rPr>
                <w:rFonts w:ascii="Arial" w:hAnsi="Arial" w:cs="Arial"/>
                <w:bCs/>
                <w:sz w:val="22"/>
                <w:szCs w:val="22"/>
              </w:rPr>
              <w:t>Zakup niezbędnego sprzętu medycznego i wyposażenia na potrzeby Oddziału Chirurgii Ogólnej i Chirurgii Onkologicznej - 2 zadania</w:t>
            </w:r>
            <w:r w:rsidR="004E4B64" w:rsidRPr="00B1039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A01D2D" w:rsidRPr="00B10395" w14:paraId="608DECA6" w14:textId="77777777" w:rsidTr="00AA475C">
        <w:tc>
          <w:tcPr>
            <w:tcW w:w="2269" w:type="dxa"/>
            <w:shd w:val="clear" w:color="auto" w:fill="auto"/>
          </w:tcPr>
          <w:p w14:paraId="6ABD21F3" w14:textId="77777777" w:rsidR="00A01D2D" w:rsidRPr="00B10395" w:rsidRDefault="00A01D2D" w:rsidP="0003471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CC66BA" w14:textId="77777777" w:rsidR="00A01D2D" w:rsidRPr="00B10395" w:rsidRDefault="00A01D2D" w:rsidP="0003471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10395">
              <w:rPr>
                <w:rFonts w:ascii="Arial" w:hAnsi="Arial" w:cs="Arial"/>
                <w:bCs/>
                <w:sz w:val="22"/>
                <w:szCs w:val="22"/>
              </w:rPr>
              <w:t>SZW/DZP/65/2025</w:t>
            </w:r>
          </w:p>
        </w:tc>
      </w:tr>
    </w:tbl>
    <w:p w14:paraId="3FBC788B" w14:textId="77777777" w:rsidR="004E4B64" w:rsidRPr="00AD45A9" w:rsidRDefault="004E4B64" w:rsidP="0003471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2B6EDD6D" w14:textId="77777777" w:rsidTr="00C46732">
        <w:tc>
          <w:tcPr>
            <w:tcW w:w="9330" w:type="dxa"/>
            <w:shd w:val="clear" w:color="auto" w:fill="F2F2F2"/>
            <w:hideMark/>
          </w:tcPr>
          <w:p w14:paraId="3C6936FA" w14:textId="77777777" w:rsidR="00843A88" w:rsidRPr="00AD45A9" w:rsidRDefault="00843A88" w:rsidP="0003471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CC6FBCE" w14:textId="77777777" w:rsidR="00034712" w:rsidRDefault="00034712" w:rsidP="00034712">
      <w:pPr>
        <w:jc w:val="both"/>
        <w:rPr>
          <w:rFonts w:ascii="Arial" w:hAnsi="Arial" w:cs="Arial"/>
          <w:sz w:val="24"/>
          <w:szCs w:val="24"/>
        </w:rPr>
      </w:pPr>
    </w:p>
    <w:p w14:paraId="1FF491B7" w14:textId="1890E6D7" w:rsidR="0012774F" w:rsidRPr="00B10395" w:rsidRDefault="00520165" w:rsidP="00034712">
      <w:pPr>
        <w:jc w:val="both"/>
        <w:rPr>
          <w:rFonts w:ascii="Arial" w:hAnsi="Arial" w:cs="Arial"/>
          <w:sz w:val="22"/>
          <w:szCs w:val="22"/>
        </w:rPr>
      </w:pPr>
      <w:r w:rsidRPr="00B10395">
        <w:rPr>
          <w:rFonts w:ascii="Arial" w:hAnsi="Arial" w:cs="Arial"/>
          <w:sz w:val="22"/>
          <w:szCs w:val="22"/>
        </w:rPr>
        <w:t xml:space="preserve">Zamawiający, </w:t>
      </w:r>
      <w:r w:rsidR="00A01D2D" w:rsidRPr="00B10395">
        <w:rPr>
          <w:rFonts w:ascii="Arial" w:hAnsi="Arial" w:cs="Arial"/>
          <w:b/>
          <w:sz w:val="22"/>
          <w:szCs w:val="22"/>
        </w:rPr>
        <w:t>Szpital Wojewódzki w Poznaniu</w:t>
      </w:r>
      <w:r w:rsidR="00034712" w:rsidRPr="00B10395">
        <w:rPr>
          <w:rFonts w:ascii="Arial" w:hAnsi="Arial" w:cs="Arial"/>
          <w:b/>
          <w:sz w:val="22"/>
          <w:szCs w:val="22"/>
        </w:rPr>
        <w:t xml:space="preserve">, </w:t>
      </w:r>
      <w:r w:rsidR="00A01D2D" w:rsidRPr="00B10395">
        <w:rPr>
          <w:rFonts w:ascii="Arial" w:hAnsi="Arial" w:cs="Arial"/>
          <w:b/>
          <w:sz w:val="22"/>
          <w:szCs w:val="22"/>
        </w:rPr>
        <w:t>Dział Zamówień Publicznych</w:t>
      </w:r>
      <w:r w:rsidRPr="00B10395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B10395">
        <w:rPr>
          <w:rFonts w:ascii="Arial" w:hAnsi="Arial" w:cs="Arial"/>
          <w:sz w:val="22"/>
          <w:szCs w:val="22"/>
        </w:rPr>
        <w:t>284</w:t>
      </w:r>
      <w:r w:rsidRPr="00B10395">
        <w:rPr>
          <w:rFonts w:ascii="Arial" w:hAnsi="Arial" w:cs="Arial"/>
          <w:sz w:val="22"/>
          <w:szCs w:val="22"/>
        </w:rPr>
        <w:t xml:space="preserve"> ust. </w:t>
      </w:r>
      <w:r w:rsidR="0029606A" w:rsidRPr="00B10395">
        <w:rPr>
          <w:rFonts w:ascii="Arial" w:hAnsi="Arial" w:cs="Arial"/>
          <w:sz w:val="22"/>
          <w:szCs w:val="22"/>
        </w:rPr>
        <w:t>6</w:t>
      </w:r>
      <w:r w:rsidRPr="00B10395">
        <w:rPr>
          <w:rFonts w:ascii="Arial" w:hAnsi="Arial" w:cs="Arial"/>
          <w:sz w:val="22"/>
          <w:szCs w:val="22"/>
        </w:rPr>
        <w:t xml:space="preserve"> ustawy z dnia </w:t>
      </w:r>
      <w:r w:rsidR="0029606A" w:rsidRPr="00B10395">
        <w:rPr>
          <w:rFonts w:ascii="Arial" w:hAnsi="Arial" w:cs="Arial"/>
          <w:sz w:val="22"/>
          <w:szCs w:val="22"/>
        </w:rPr>
        <w:t>11</w:t>
      </w:r>
      <w:r w:rsidRPr="00B10395">
        <w:rPr>
          <w:rFonts w:ascii="Arial" w:hAnsi="Arial" w:cs="Arial"/>
          <w:sz w:val="22"/>
          <w:szCs w:val="22"/>
        </w:rPr>
        <w:t xml:space="preserve"> </w:t>
      </w:r>
      <w:r w:rsidR="0029606A" w:rsidRPr="00B10395">
        <w:rPr>
          <w:rFonts w:ascii="Arial" w:hAnsi="Arial" w:cs="Arial"/>
          <w:sz w:val="22"/>
          <w:szCs w:val="22"/>
        </w:rPr>
        <w:t xml:space="preserve">września </w:t>
      </w:r>
      <w:r w:rsidRPr="00B10395">
        <w:rPr>
          <w:rFonts w:ascii="Arial" w:hAnsi="Arial" w:cs="Arial"/>
          <w:sz w:val="22"/>
          <w:szCs w:val="22"/>
        </w:rPr>
        <w:t>20</w:t>
      </w:r>
      <w:r w:rsidR="0029606A" w:rsidRPr="00B10395">
        <w:rPr>
          <w:rFonts w:ascii="Arial" w:hAnsi="Arial" w:cs="Arial"/>
          <w:sz w:val="22"/>
          <w:szCs w:val="22"/>
        </w:rPr>
        <w:t>19</w:t>
      </w:r>
      <w:r w:rsidRPr="00B10395">
        <w:rPr>
          <w:rFonts w:ascii="Arial" w:hAnsi="Arial" w:cs="Arial"/>
          <w:sz w:val="22"/>
          <w:szCs w:val="22"/>
        </w:rPr>
        <w:t xml:space="preserve"> r</w:t>
      </w:r>
      <w:r w:rsidR="0029606A" w:rsidRPr="00B10395">
        <w:rPr>
          <w:rFonts w:ascii="Arial" w:hAnsi="Arial" w:cs="Arial"/>
          <w:sz w:val="22"/>
          <w:szCs w:val="22"/>
        </w:rPr>
        <w:t>.</w:t>
      </w:r>
      <w:r w:rsidRPr="00B10395">
        <w:rPr>
          <w:rFonts w:ascii="Arial" w:hAnsi="Arial" w:cs="Arial"/>
          <w:sz w:val="22"/>
          <w:szCs w:val="22"/>
        </w:rPr>
        <w:t xml:space="preserve"> Prawo </w:t>
      </w:r>
      <w:r w:rsidR="0029606A" w:rsidRPr="00B10395">
        <w:rPr>
          <w:rFonts w:ascii="Arial" w:hAnsi="Arial" w:cs="Arial"/>
          <w:sz w:val="22"/>
          <w:szCs w:val="22"/>
        </w:rPr>
        <w:t>z</w:t>
      </w:r>
      <w:r w:rsidRPr="00B10395">
        <w:rPr>
          <w:rFonts w:ascii="Arial" w:hAnsi="Arial" w:cs="Arial"/>
          <w:sz w:val="22"/>
          <w:szCs w:val="22"/>
        </w:rPr>
        <w:t xml:space="preserve">amówień </w:t>
      </w:r>
      <w:r w:rsidR="0029606A" w:rsidRPr="00B10395">
        <w:rPr>
          <w:rFonts w:ascii="Arial" w:hAnsi="Arial" w:cs="Arial"/>
          <w:sz w:val="22"/>
          <w:szCs w:val="22"/>
        </w:rPr>
        <w:t>p</w:t>
      </w:r>
      <w:r w:rsidRPr="00B10395">
        <w:rPr>
          <w:rFonts w:ascii="Arial" w:hAnsi="Arial" w:cs="Arial"/>
          <w:sz w:val="22"/>
          <w:szCs w:val="22"/>
        </w:rPr>
        <w:t xml:space="preserve">ublicznych </w:t>
      </w:r>
      <w:r w:rsidR="00A01D2D" w:rsidRPr="00B10395">
        <w:rPr>
          <w:rFonts w:ascii="Arial" w:hAnsi="Arial" w:cs="Arial"/>
          <w:sz w:val="22"/>
          <w:szCs w:val="22"/>
        </w:rPr>
        <w:t>(</w:t>
      </w:r>
      <w:proofErr w:type="spellStart"/>
      <w:r w:rsidR="00A01D2D" w:rsidRPr="00B10395">
        <w:rPr>
          <w:rFonts w:ascii="Arial" w:hAnsi="Arial" w:cs="Arial"/>
          <w:sz w:val="22"/>
          <w:szCs w:val="22"/>
        </w:rPr>
        <w:t>t.j</w:t>
      </w:r>
      <w:proofErr w:type="spellEnd"/>
      <w:r w:rsidR="00A01D2D" w:rsidRPr="00B10395">
        <w:rPr>
          <w:rFonts w:ascii="Arial" w:hAnsi="Arial" w:cs="Arial"/>
          <w:sz w:val="22"/>
          <w:szCs w:val="22"/>
        </w:rPr>
        <w:t>. Dz. U. z 2024 poz. 1320)</w:t>
      </w:r>
      <w:r w:rsidR="00BE7BFD" w:rsidRPr="00B10395">
        <w:rPr>
          <w:rFonts w:ascii="Arial" w:hAnsi="Arial" w:cs="Arial"/>
          <w:sz w:val="22"/>
          <w:szCs w:val="22"/>
        </w:rPr>
        <w:t xml:space="preserve">, </w:t>
      </w:r>
      <w:r w:rsidR="00E74BC3" w:rsidRPr="00B10395">
        <w:rPr>
          <w:rFonts w:ascii="Arial" w:hAnsi="Arial" w:cs="Arial"/>
          <w:sz w:val="22"/>
          <w:szCs w:val="22"/>
        </w:rPr>
        <w:t>udostępnia</w:t>
      </w:r>
      <w:r w:rsidR="00BE7BFD" w:rsidRPr="00B10395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B10395">
        <w:rPr>
          <w:rFonts w:ascii="Arial" w:hAnsi="Arial" w:cs="Arial"/>
          <w:sz w:val="22"/>
          <w:szCs w:val="22"/>
        </w:rPr>
        <w:t>pecyfikacji Warunków Zamówienia (</w:t>
      </w:r>
      <w:r w:rsidR="0012774F" w:rsidRPr="00B10395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B1039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B10395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B10395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B10395">
        <w:rPr>
          <w:rFonts w:ascii="Arial" w:hAnsi="Arial" w:cs="Arial"/>
          <w:sz w:val="22"/>
          <w:szCs w:val="22"/>
        </w:rPr>
        <w:t>wraz z wyjaśnieniami</w:t>
      </w:r>
      <w:r w:rsidR="0012774F" w:rsidRPr="00B10395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865"/>
      </w:tblGrid>
      <w:tr w:rsidR="00A01D2D" w:rsidRPr="00E935D6" w14:paraId="6BC0BDCD" w14:textId="77777777" w:rsidTr="00AA475C">
        <w:tc>
          <w:tcPr>
            <w:tcW w:w="9356" w:type="dxa"/>
            <w:shd w:val="clear" w:color="auto" w:fill="auto"/>
          </w:tcPr>
          <w:p w14:paraId="06A92F9C" w14:textId="77777777" w:rsidR="00034712" w:rsidRDefault="00034712" w:rsidP="00034712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0BA033A" w14:textId="09F4929C" w:rsidR="00A01D2D" w:rsidRPr="00B10395" w:rsidRDefault="00A01D2D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Czy Zamawiający w pakiecie 2b ssak akumulatorowy dopuści ssak o przepływie 30l/min oraz sterowanie podciśnieniem w sposób płynny przy pomocy pokrętła zamiast przycisków. Odpowiedź: Zamawiający dopuszcza takie rozwiązanie.</w:t>
            </w:r>
          </w:p>
          <w:p w14:paraId="3B4BADEB" w14:textId="77777777" w:rsidR="00097298" w:rsidRPr="00B10395" w:rsidRDefault="00097298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1A8BF5" w14:textId="77777777" w:rsidR="00A01D2D" w:rsidRPr="00B10395" w:rsidRDefault="00A01D2D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Dotyczy zadania nr 2 ssak akumulatorowy z jednorazowym pojemnikiem Czy Zamawiający dopuści w poz. 9 - Słój o pojemności 1l, umieszczony w uchwycie zabezpieczającym, na jednorazowe wkłady na odessaną treść? Specjalny uchwyt utrzymuje i zabezpiecza słój w wyznaczonej pozycji. Rozwiązanie to spełnia takie same funkcje jak koszyk w poz. 10 - Siła ssania regulowana pokrętłem z wyraźnym, czytelnym wyświetlaczem. Rozwiązanie to spełnia takie same funkcje jak sterowanie przez naciśnięcie klawisza w poz. 12 - przepływ 25 l /min? Różnica jest niewielka. Dopuszczenie rozwiązań równoważnych jest zgodne z zasadą równego traktowania i uczciwej konkurencji (art. 7 Ustawy PZP). Odpowiedź: Zamawiający dopuszcza także.</w:t>
            </w:r>
          </w:p>
          <w:p w14:paraId="1CA55D45" w14:textId="77777777" w:rsidR="00097298" w:rsidRPr="00B10395" w:rsidRDefault="00097298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77FF35" w14:textId="615BDFCB" w:rsidR="00A01D2D" w:rsidRPr="00B10395" w:rsidRDefault="00A01D2D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 xml:space="preserve">Dotyczy zadania 2 - ssaków </w:t>
            </w:r>
          </w:p>
          <w:p w14:paraId="6A867FD9" w14:textId="77777777" w:rsidR="00A01D2D" w:rsidRPr="00B10395" w:rsidRDefault="00A01D2D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1.</w:t>
            </w:r>
            <w:r w:rsidRPr="00B10395">
              <w:rPr>
                <w:rFonts w:ascii="Arial" w:hAnsi="Arial" w:cs="Arial"/>
                <w:sz w:val="22"/>
                <w:szCs w:val="22"/>
              </w:rPr>
              <w:tab/>
              <w:t>Zwracamy się do Zamawiającego z pytaniem, czy wyrazi zgodę na wydłużenie terminu podjęcia naprawy z 24 do 72h? Odpowiedź: Zamawiający zmienia to wymaganie na max 48h</w:t>
            </w:r>
          </w:p>
          <w:p w14:paraId="4CE6D628" w14:textId="77777777" w:rsidR="00A01D2D" w:rsidRPr="00B10395" w:rsidRDefault="00A01D2D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2.</w:t>
            </w:r>
            <w:r w:rsidRPr="00B10395">
              <w:rPr>
                <w:rFonts w:ascii="Arial" w:hAnsi="Arial" w:cs="Arial"/>
                <w:sz w:val="22"/>
                <w:szCs w:val="22"/>
              </w:rPr>
              <w:tab/>
              <w:t>Prosimy o potwierdzenie, że Zamawiający w zadaniu 2 wymaga warunków serwisowych zgodnych z tabelą formularza asortymentowo-cenowego.</w:t>
            </w:r>
          </w:p>
          <w:tbl>
            <w:tblPr>
              <w:tblW w:w="9639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2"/>
              <w:gridCol w:w="7230"/>
              <w:gridCol w:w="992"/>
              <w:gridCol w:w="855"/>
            </w:tblGrid>
            <w:tr w:rsidR="00034712" w14:paraId="5BF0D8BE" w14:textId="77777777" w:rsidTr="00034712">
              <w:trPr>
                <w:trHeight w:val="285"/>
                <w:jc w:val="center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127D98" w14:textId="77777777" w:rsidR="00034712" w:rsidRDefault="00034712" w:rsidP="00034712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25</w:t>
                  </w:r>
                </w:p>
              </w:tc>
              <w:tc>
                <w:tcPr>
                  <w:tcW w:w="72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691931" w14:textId="77777777" w:rsidR="00034712" w:rsidRDefault="00034712" w:rsidP="00034712">
                  <w:r>
                    <w:t>Czas reakcji serwisu w okresie gwarancji od chwili zgłoszenia awarii czyli pojawienie się pracownika serwisu w miejscu awarii w dni robocze max 24 godziny. Czas skutecznej naprawy do 5 dni roboczych.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F85912" w14:textId="77777777" w:rsidR="00034712" w:rsidRDefault="00034712" w:rsidP="00034712">
                  <w:r>
                    <w:t>Tak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7DF36F" w14:textId="77777777" w:rsidR="00034712" w:rsidRDefault="00034712" w:rsidP="00034712">
                  <w:r>
                    <w:t> </w:t>
                  </w:r>
                </w:p>
              </w:tc>
            </w:tr>
            <w:tr w:rsidR="00034712" w14:paraId="0E2ABFF2" w14:textId="77777777" w:rsidTr="00034712">
              <w:trPr>
                <w:trHeight w:val="285"/>
                <w:jc w:val="center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B7CEAF" w14:textId="77777777" w:rsidR="00034712" w:rsidRDefault="00034712" w:rsidP="00034712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26</w:t>
                  </w:r>
                </w:p>
              </w:tc>
              <w:tc>
                <w:tcPr>
                  <w:tcW w:w="72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80EB5D" w14:textId="77777777" w:rsidR="00034712" w:rsidRDefault="00034712" w:rsidP="00034712">
                  <w:r>
                    <w:t>Czas skutecznej naprawy w okresie gwarancyjnym wymagającej importu części spoza Polski  – maksimum 14 dni roboczych.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D215D1" w14:textId="77777777" w:rsidR="00034712" w:rsidRDefault="00034712" w:rsidP="00034712">
                  <w:r>
                    <w:t>Tak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9BD441" w14:textId="77777777" w:rsidR="00034712" w:rsidRDefault="00034712" w:rsidP="00034712">
                  <w:r>
                    <w:t> </w:t>
                  </w:r>
                </w:p>
              </w:tc>
            </w:tr>
            <w:tr w:rsidR="00034712" w14:paraId="031AF181" w14:textId="77777777" w:rsidTr="00034712">
              <w:trPr>
                <w:trHeight w:val="285"/>
                <w:jc w:val="center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1263FC" w14:textId="77777777" w:rsidR="00034712" w:rsidRDefault="00034712" w:rsidP="00034712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27</w:t>
                  </w:r>
                </w:p>
              </w:tc>
              <w:tc>
                <w:tcPr>
                  <w:tcW w:w="72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926F72" w14:textId="77777777" w:rsidR="00034712" w:rsidRDefault="00034712" w:rsidP="00034712">
                  <w:r>
                    <w:t xml:space="preserve">- W przypadku naprawy trwającej dłużej niż 5 dni roboczych Wykonawca zapewni sprzęt zastępczy o parametrach </w:t>
                  </w:r>
                  <w:proofErr w:type="spellStart"/>
                  <w:r>
                    <w:t>niegorszych</w:t>
                  </w:r>
                  <w:proofErr w:type="spellEnd"/>
                  <w:r>
                    <w:t xml:space="preserve"> niż oferowany.</w:t>
                  </w:r>
                </w:p>
                <w:p w14:paraId="19CA4B66" w14:textId="77777777" w:rsidR="00034712" w:rsidRDefault="00034712" w:rsidP="00034712">
                  <w:r>
                    <w:t xml:space="preserve">- W przypadku naprawy trwającej dłużej niż 14 dni roboczych (import części spoza Polski) Wykonawca zapewni sprzęt zastępczy o parametrach </w:t>
                  </w:r>
                  <w:proofErr w:type="spellStart"/>
                  <w:r>
                    <w:t>niegorszych</w:t>
                  </w:r>
                  <w:proofErr w:type="spellEnd"/>
                  <w:r>
                    <w:t xml:space="preserve"> niż oferowany.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BB3996" w14:textId="77777777" w:rsidR="00034712" w:rsidRDefault="00034712" w:rsidP="00034712">
                  <w:r>
                    <w:t>Tak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9CE571" w14:textId="77777777" w:rsidR="00034712" w:rsidRDefault="00034712" w:rsidP="00034712">
                  <w:r>
                    <w:t> </w:t>
                  </w:r>
                </w:p>
              </w:tc>
            </w:tr>
          </w:tbl>
          <w:p w14:paraId="48B70554" w14:textId="77777777" w:rsidR="00034712" w:rsidRPr="00B10395" w:rsidRDefault="00034712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Wzór umowy zawiera inne terminy , dlatego też prosimy o doprecyzowanie. Odpowiedź: Zgodnie z zmodyfikowanym wzorem umowy.</w:t>
            </w:r>
          </w:p>
          <w:p w14:paraId="54057278" w14:textId="77777777" w:rsidR="00097298" w:rsidRPr="00B10395" w:rsidRDefault="00097298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544B3F" w14:textId="0EF7D079" w:rsidR="00034712" w:rsidRPr="00B10395" w:rsidRDefault="00034712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 xml:space="preserve">1. Czy Zamawiający obniży łączny maksymalny limit kar umownych do poziomu w granicach pomiędzy 10 a 30%? Zamawiający, ustalając górny limit kar umownych winien mieć na uwadze, że wysokość kary umownej nie powinna prowadzić do nieuzasadnionego wzbogacenia Zamawiającego czy naruszenia zasady proporcjonalności, określonej w art. 16 ustawy </w:t>
            </w:r>
            <w:proofErr w:type="spellStart"/>
            <w:r w:rsidRPr="00B10395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B10395">
              <w:rPr>
                <w:rFonts w:ascii="Arial" w:hAnsi="Arial" w:cs="Arial"/>
                <w:sz w:val="22"/>
                <w:szCs w:val="22"/>
              </w:rPr>
              <w:t>. Limit kar na poziomie 10-30% jest standardem rynkowym stosowanym w praktyce udzielania zamówień publicznych, a zasadność ustalenia limitu kar na takim poziomie potwierdza stanowisko Krajowej Izby odwoławczej w wyroku KIO 2327/23. Odpowiedź: Zgodnie ze wzorem umowy.</w:t>
            </w:r>
          </w:p>
          <w:p w14:paraId="16A11D01" w14:textId="77777777" w:rsidR="00097298" w:rsidRPr="00B10395" w:rsidRDefault="00097298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D780A9" w14:textId="70054E7E" w:rsidR="00034712" w:rsidRPr="00B10395" w:rsidRDefault="00034712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2. Czy w celu umiarkowania kar umownych Zamawiający dokona modyfikacji postanowień projektu przyszłej umowy w zakresie zapisów § 10:</w:t>
            </w:r>
          </w:p>
          <w:p w14:paraId="626FA5E4" w14:textId="77777777" w:rsidR="00034712" w:rsidRPr="00B10395" w:rsidRDefault="00034712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 xml:space="preserve">1.Jeżeli Wykonawca nie przystąpi lub przerwie wykonywanie przedmiotu Umowy z przyczyn leżących po stronie Wykonawcy oraz w przypadku rozwiązania umowy zgodnie z § 11 ust. 3 Wykonawca zapłaci Zamawiającemu karę umowną w wysokości: </w:t>
            </w:r>
          </w:p>
          <w:p w14:paraId="703BF524" w14:textId="77777777" w:rsidR="00034712" w:rsidRPr="00B10395" w:rsidRDefault="00034712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 xml:space="preserve">1) </w:t>
            </w:r>
            <w:r w:rsidRPr="00B103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10%</w:t>
            </w:r>
            <w:r w:rsidRPr="00B10395">
              <w:rPr>
                <w:rFonts w:ascii="Arial" w:hAnsi="Arial" w:cs="Arial"/>
                <w:sz w:val="22"/>
                <w:szCs w:val="22"/>
              </w:rPr>
              <w:t xml:space="preserve"> wartości </w:t>
            </w:r>
            <w:r w:rsidRPr="00B103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niezrealizowanej części</w:t>
            </w:r>
            <w:r w:rsidRPr="00B10395">
              <w:rPr>
                <w:rFonts w:ascii="Arial" w:hAnsi="Arial" w:cs="Arial"/>
                <w:sz w:val="22"/>
                <w:szCs w:val="22"/>
              </w:rPr>
              <w:t xml:space="preserve"> Umowy brutto określonej w §5 ust. 1 niniejszej Umowy. [dotyczy przedmiotu umowy zawierającego tylko jedna pozycję] </w:t>
            </w:r>
          </w:p>
          <w:p w14:paraId="473853B3" w14:textId="77777777" w:rsidR="00034712" w:rsidRPr="00B10395" w:rsidRDefault="00034712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 xml:space="preserve">2) </w:t>
            </w:r>
            <w:r w:rsidRPr="00B103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10%</w:t>
            </w:r>
            <w:r w:rsidRPr="00B10395">
              <w:rPr>
                <w:rFonts w:ascii="Arial" w:hAnsi="Arial" w:cs="Arial"/>
                <w:sz w:val="22"/>
                <w:szCs w:val="22"/>
              </w:rPr>
              <w:t xml:space="preserve"> wartości </w:t>
            </w:r>
            <w:r w:rsidRPr="00B103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niezrealizowanych</w:t>
            </w:r>
            <w:r w:rsidRPr="00B103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B10395">
              <w:rPr>
                <w:rFonts w:ascii="Arial" w:hAnsi="Arial" w:cs="Arial"/>
                <w:sz w:val="22"/>
                <w:szCs w:val="22"/>
              </w:rPr>
              <w:t>pozycji brutto, określonej według Formularza ofertowego [Załącznik nr 2], od której to pozycji Wykonawca odstąpił lub rozwiązał Umowę. [dotyczy przedmiotu umowy zawierającego dwie lub więcej pozycji] Odpowiedź: Zgodnie ze wzorem umowy.</w:t>
            </w:r>
          </w:p>
          <w:p w14:paraId="56EFC9FA" w14:textId="3DE27220" w:rsidR="00034712" w:rsidRPr="00B10395" w:rsidRDefault="00034712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 xml:space="preserve">3. Za zwłokę w wykonaniu planowanego przeglądu okresowego, o ile nie nastąpiło ono z winy Zamawiającego, Wykonawca zapłaci kary umowne w wysokości 0,3 % wartości brutto Sprzętu, </w:t>
            </w:r>
            <w:r w:rsidRPr="00B103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którego dotyczy niewykonany przegląd</w:t>
            </w:r>
            <w:r w:rsidRPr="00B10395">
              <w:rPr>
                <w:rFonts w:ascii="Arial" w:hAnsi="Arial" w:cs="Arial"/>
                <w:sz w:val="22"/>
                <w:szCs w:val="22"/>
              </w:rPr>
              <w:t>, określonej w Formularzu ofertowym [Załącznik nr 2] za każdy rozpoczęty dzień zwłoki powyżej 1 [jednego] roku od daty instalacji lub poprzedniego przeglądu. Odpowiedź: Zgodnie ze wzorem umowy.</w:t>
            </w:r>
          </w:p>
          <w:p w14:paraId="48244E64" w14:textId="77777777" w:rsidR="00034712" w:rsidRPr="00B10395" w:rsidRDefault="00034712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 xml:space="preserve">6. Za niewywiązanie się z obowiązków określonych w Umowie wynikających z §3 ust. 6-9 lub w §7 ust. 11, 12, 17 i 18, Wykonawca zapłaci karę umowną w wysokości </w:t>
            </w:r>
            <w:r w:rsidRPr="00B103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0,5 % </w:t>
            </w:r>
            <w:r w:rsidRPr="00B10395">
              <w:rPr>
                <w:rFonts w:ascii="Arial" w:hAnsi="Arial" w:cs="Arial"/>
                <w:sz w:val="22"/>
                <w:szCs w:val="22"/>
              </w:rPr>
              <w:t>wartości Umowy brutto określonej w § 5 ust. 1 niniejszej Umowy za każde uchybienie. Odpowiedź: Zgodnie ze wzorem umowy.</w:t>
            </w:r>
          </w:p>
          <w:p w14:paraId="14D60B2B" w14:textId="77777777" w:rsidR="00097298" w:rsidRPr="00B10395" w:rsidRDefault="00097298" w:rsidP="0003471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3E0329D" w14:textId="77777777" w:rsidR="00034712" w:rsidRPr="00B10395" w:rsidRDefault="00034712" w:rsidP="00034712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Zadanie nr 1: Dot. par. 6 ust. 1 wzoru umowy – Czy Zamawiający wyraża zgodę na 30 dniowy termin płatności? Odpowiedź: Zgodnie ze wzorem umowy</w:t>
            </w:r>
          </w:p>
          <w:p w14:paraId="3B02742C" w14:textId="77777777" w:rsidR="00034712" w:rsidRPr="00B10395" w:rsidRDefault="00034712" w:rsidP="00034712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Zadanie nr 1: Dot. par. 10 ust. 8 wzoru umowy - Czy Zamawiający wyraża zgodę, aby łączna wysokość kar umownych wynikających z umowy, do których zapłaty zobowiązany będzie Wykonawca nie mogła przekroczyć 20% ogólnej wartości Umowy brutto określonej w §5 ust. 1? Odpowiedź: Zgodnie ze wzorem umowy</w:t>
            </w:r>
          </w:p>
          <w:p w14:paraId="682F8C3B" w14:textId="77777777" w:rsidR="00034712" w:rsidRPr="00B10395" w:rsidRDefault="00034712" w:rsidP="00034712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Zadanie nr 1: Dot. parametru nr 62 Załącznika nr 2a do SWZ - Czy Zamawiający wyraża zgodę, aby czas reakcji serwisu w okresie gwarancji od chwili zgłoszenia awarii czyli pojawienie się pracownika serwisu w miejscu awarii lub diagnostyka zdalna w dni robocze wynosił max 72 godziny? Odpowiedź: Zamawiający zmienia to wymaganie na max 48h</w:t>
            </w:r>
          </w:p>
          <w:p w14:paraId="0323A1E2" w14:textId="77777777" w:rsidR="00034712" w:rsidRPr="00B10395" w:rsidRDefault="00034712" w:rsidP="00034712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395">
              <w:rPr>
                <w:rFonts w:ascii="Arial" w:hAnsi="Arial" w:cs="Arial"/>
                <w:sz w:val="22"/>
                <w:szCs w:val="22"/>
              </w:rPr>
              <w:t>Zadanie nr 1: Dot. parametru nr 5-56 Załącznika nr 2a do SWZ – Czy Zamawiający dopuszcza pompy objętościowe o poniższych parametrach (zamiast parametrów opisanych pod nr 5-56 Załącznika nr 2a do SWZ):</w:t>
            </w:r>
          </w:p>
          <w:tbl>
            <w:tblPr>
              <w:tblW w:w="8850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8283"/>
            </w:tblGrid>
            <w:tr w:rsidR="00034712" w14:paraId="0D17FAED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F9915DE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EE8BEE3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Możliwość stosowania zestawów infuzyjnych do podaży:</w:t>
                  </w:r>
                </w:p>
                <w:p w14:paraId="71EFF11D" w14:textId="77777777" w:rsidR="00034712" w:rsidRDefault="00034712" w:rsidP="00034712">
                  <w:pPr>
                    <w:numPr>
                      <w:ilvl w:val="0"/>
                      <w:numId w:val="10"/>
                    </w:numPr>
                    <w:suppressAutoHyphens/>
                    <w:snapToGrid w:val="0"/>
                    <w:ind w:left="358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 xml:space="preserve">leków standardowych, płynów infuzyjnych i 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cytostatyków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 xml:space="preserve"> (zestawy nie zawierające 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ftalanów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 xml:space="preserve"> (DEHP-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free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>) oraz lateksu),</w:t>
                  </w:r>
                </w:p>
                <w:p w14:paraId="1D01E00C" w14:textId="77777777" w:rsidR="00034712" w:rsidRDefault="00034712" w:rsidP="00034712">
                  <w:pPr>
                    <w:numPr>
                      <w:ilvl w:val="0"/>
                      <w:numId w:val="10"/>
                    </w:numPr>
                    <w:suppressAutoHyphens/>
                    <w:snapToGrid w:val="0"/>
                    <w:ind w:left="358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>żywienia pozajelitowego i żywienia dojelitowego,</w:t>
                  </w:r>
                </w:p>
                <w:p w14:paraId="6BFCDF3C" w14:textId="77777777" w:rsidR="00034712" w:rsidRDefault="00034712" w:rsidP="00034712">
                  <w:pPr>
                    <w:numPr>
                      <w:ilvl w:val="0"/>
                      <w:numId w:val="10"/>
                    </w:numPr>
                    <w:suppressAutoHyphens/>
                    <w:snapToGrid w:val="0"/>
                    <w:ind w:left="358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>leków światłoczułych,</w:t>
                  </w:r>
                </w:p>
                <w:p w14:paraId="5F0CE772" w14:textId="77777777" w:rsidR="00034712" w:rsidRDefault="00034712" w:rsidP="00034712">
                  <w:pPr>
                    <w:numPr>
                      <w:ilvl w:val="0"/>
                      <w:numId w:val="10"/>
                    </w:numPr>
                    <w:suppressAutoHyphens/>
                    <w:snapToGrid w:val="0"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krwi i preparatów krwiopochodnych.</w:t>
                  </w:r>
                </w:p>
              </w:tc>
            </w:tr>
            <w:tr w:rsidR="00034712" w14:paraId="47B2DF5A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C0208E6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51C3F3D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</w:rPr>
                  </w:pPr>
                  <w:r>
                    <w:rPr>
                      <w:rFonts w:ascii="Calibri" w:hAnsi="Calibri"/>
                    </w:rPr>
                    <w:t>Klawiatura symboliczna i fizyczna (nie wyświetlana na ekranie) klawiatura alfanumeryczna umożliwiająca szybkie i intuicyjne programowanie infuzji oraz obsługę pompy.</w:t>
                  </w:r>
                </w:p>
              </w:tc>
            </w:tr>
            <w:tr w:rsidR="00034712" w14:paraId="26E4BC24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42F5185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6571C48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Mechanizm zabezpieczający przed swobodnym przepływem grawitacyjnym składający się z dwóch elementów – jeden w pompie i drugi na zestawie infuzyjnym.</w:t>
                  </w:r>
                </w:p>
              </w:tc>
            </w:tr>
            <w:tr w:rsidR="00034712" w14:paraId="54527DD9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0127D95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0688210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Możliwość odłączania detektora kropli.</w:t>
                  </w:r>
                </w:p>
              </w:tc>
            </w:tr>
            <w:tr w:rsidR="00034712" w14:paraId="3C2A9F4B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BB2C618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46685E0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>Możliwość usunięcia zestawu infuzyjnego z pompy w trybie wyłączonym  z podłączonym i odłączonym zasilaniem zewnętrznym.</w:t>
                  </w:r>
                </w:p>
              </w:tc>
            </w:tr>
            <w:tr w:rsidR="00034712" w14:paraId="2251F269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4A2DCD92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A344543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 xml:space="preserve">Wykrywanie powietrza w zestawie infuzyjnym. </w:t>
                  </w:r>
                </w:p>
              </w:tc>
            </w:tr>
            <w:tr w:rsidR="00034712" w14:paraId="4C355DFF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CCD5C2B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D55B60A" w14:textId="77777777" w:rsidR="00034712" w:rsidRPr="00034712" w:rsidRDefault="00034712" w:rsidP="00034712">
                  <w:pPr>
                    <w:snapToGrid w:val="0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/>
                      <w:bCs/>
                      <w:color w:val="000000"/>
                    </w:rPr>
                    <w:t>Kolorowy ekran pompy.</w:t>
                  </w:r>
                </w:p>
              </w:tc>
            </w:tr>
            <w:tr w:rsidR="00034712" w14:paraId="5BEF9405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663DA9A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FC60D0E" w14:textId="77777777" w:rsidR="00034712" w:rsidRPr="00034712" w:rsidRDefault="00034712" w:rsidP="00034712">
                  <w:pPr>
                    <w:snapToGrid w:val="0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Ekran dotykowy pompy, przyspieszający wybór parametrów.</w:t>
                  </w:r>
                </w:p>
              </w:tc>
            </w:tr>
            <w:tr w:rsidR="00034712" w14:paraId="146BCE8D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110E7E07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4058FD5" w14:textId="77777777" w:rsidR="00034712" w:rsidRPr="00034712" w:rsidRDefault="00034712" w:rsidP="00034712">
                  <w:pPr>
                    <w:snapToGrid w:val="0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>
                    <w:rPr>
                      <w:rFonts w:ascii="Calibri" w:hAnsi="Calibri"/>
                      <w:bCs/>
                      <w:color w:val="000000"/>
                    </w:rPr>
                    <w:t>Wszystkie komunikaty w pompie w języku polskim.</w:t>
                  </w:r>
                </w:p>
              </w:tc>
            </w:tr>
            <w:tr w:rsidR="00034712" w14:paraId="1F775B03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06DFA78E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  <w:color w:val="000000"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D2BAC21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Przekątna ekranu 3,2 cala</w:t>
                  </w:r>
                </w:p>
              </w:tc>
            </w:tr>
            <w:tr w:rsidR="00034712" w14:paraId="13AB76A7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40EB4095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C195A57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Zakres szybkości dozowania 0,1 – 1200 ml/h.</w:t>
                  </w:r>
                </w:p>
              </w:tc>
            </w:tr>
            <w:tr w:rsidR="00034712" w14:paraId="7EB9737C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3F39D3D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3E40C52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Dokładność infuzji ±</w:t>
                  </w:r>
                  <w:r>
                    <w:rPr>
                      <w:rFonts w:ascii="Calibri" w:hAnsi="Calibri" w:cs="Arial"/>
                      <w:color w:val="FF0000"/>
                    </w:rPr>
                    <w:t xml:space="preserve"> </w:t>
                  </w:r>
                  <w:r>
                    <w:rPr>
                      <w:rFonts w:ascii="Calibri" w:hAnsi="Calibri" w:cs="Arial"/>
                    </w:rPr>
                    <w:t>5%.</w:t>
                  </w:r>
                </w:p>
              </w:tc>
            </w:tr>
            <w:tr w:rsidR="00034712" w14:paraId="11AB7D04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B906A1D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E439CFF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>Programowanie parametrów infuzji w jednostkach:</w:t>
                  </w:r>
                </w:p>
                <w:p w14:paraId="62EAC0E5" w14:textId="77777777" w:rsidR="00034712" w:rsidRDefault="00034712" w:rsidP="00034712">
                  <w:pPr>
                    <w:numPr>
                      <w:ilvl w:val="0"/>
                      <w:numId w:val="11"/>
                    </w:numPr>
                    <w:suppressAutoHyphens/>
                    <w:ind w:left="383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>ml, L,</w:t>
                  </w:r>
                </w:p>
                <w:p w14:paraId="62F6FE5C" w14:textId="77777777" w:rsidR="00034712" w:rsidRDefault="00034712" w:rsidP="00034712">
                  <w:pPr>
                    <w:numPr>
                      <w:ilvl w:val="0"/>
                      <w:numId w:val="11"/>
                    </w:numPr>
                    <w:suppressAutoHyphens/>
                    <w:ind w:left="383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ng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 xml:space="preserve">, 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μg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>, mg, g,</w:t>
                  </w:r>
                </w:p>
                <w:p w14:paraId="38890236" w14:textId="77777777" w:rsidR="00034712" w:rsidRDefault="00034712" w:rsidP="00034712">
                  <w:pPr>
                    <w:numPr>
                      <w:ilvl w:val="0"/>
                      <w:numId w:val="11"/>
                    </w:numPr>
                    <w:suppressAutoHyphens/>
                    <w:ind w:left="383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μEq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 xml:space="preserve">, 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mEq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 xml:space="preserve">, 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Eq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>,</w:t>
                  </w:r>
                </w:p>
                <w:p w14:paraId="7B26B5F1" w14:textId="77777777" w:rsidR="00034712" w:rsidRDefault="00034712" w:rsidP="00034712">
                  <w:pPr>
                    <w:numPr>
                      <w:ilvl w:val="0"/>
                      <w:numId w:val="11"/>
                    </w:numPr>
                    <w:suppressAutoHyphens/>
                    <w:ind w:left="383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mlU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 xml:space="preserve">, IU, 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kIU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>,</w:t>
                  </w:r>
                </w:p>
                <w:p w14:paraId="171EE713" w14:textId="77777777" w:rsidR="00034712" w:rsidRDefault="00034712" w:rsidP="00034712">
                  <w:pPr>
                    <w:numPr>
                      <w:ilvl w:val="0"/>
                      <w:numId w:val="11"/>
                    </w:numPr>
                    <w:suppressAutoHyphens/>
                    <w:ind w:left="383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mIE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 xml:space="preserve">, IE, 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kIE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>,</w:t>
                  </w:r>
                </w:p>
                <w:p w14:paraId="17937595" w14:textId="77777777" w:rsidR="00034712" w:rsidRDefault="00034712" w:rsidP="00034712">
                  <w:pPr>
                    <w:numPr>
                      <w:ilvl w:val="0"/>
                      <w:numId w:val="11"/>
                    </w:numPr>
                    <w:suppressAutoHyphens/>
                    <w:ind w:left="383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>cal, kcal,</w:t>
                  </w:r>
                </w:p>
                <w:p w14:paraId="0F129904" w14:textId="77777777" w:rsidR="00034712" w:rsidRDefault="00034712" w:rsidP="00034712">
                  <w:pPr>
                    <w:numPr>
                      <w:ilvl w:val="0"/>
                      <w:numId w:val="11"/>
                    </w:numPr>
                    <w:suppressAutoHyphens/>
                    <w:ind w:left="383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 xml:space="preserve">J, </w:t>
                  </w: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kJ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>,</w:t>
                  </w:r>
                </w:p>
                <w:p w14:paraId="5784F7A8" w14:textId="77777777" w:rsidR="00034712" w:rsidRDefault="00034712" w:rsidP="00034712">
                  <w:pPr>
                    <w:numPr>
                      <w:ilvl w:val="0"/>
                      <w:numId w:val="11"/>
                    </w:numPr>
                    <w:suppressAutoHyphens/>
                    <w:ind w:left="380" w:hanging="284"/>
                    <w:rPr>
                      <w:rFonts w:ascii="Calibri" w:hAnsi="Calibri" w:cs="Arial"/>
                      <w:b/>
                      <w:color w:val="000000"/>
                    </w:rPr>
                  </w:pPr>
                  <w:proofErr w:type="spellStart"/>
                  <w:r>
                    <w:rPr>
                      <w:rFonts w:ascii="Calibri" w:hAnsi="Calibri" w:cs="Arial"/>
                      <w:color w:val="000000"/>
                    </w:rPr>
                    <w:t>mmol</w:t>
                  </w:r>
                  <w:proofErr w:type="spellEnd"/>
                  <w:r>
                    <w:rPr>
                      <w:rFonts w:ascii="Calibri" w:hAnsi="Calibri" w:cs="Arial"/>
                      <w:color w:val="000000"/>
                    </w:rPr>
                    <w:t xml:space="preserve">, mol, </w:t>
                  </w:r>
                </w:p>
                <w:p w14:paraId="231DD3A1" w14:textId="77777777" w:rsidR="00034712" w:rsidRPr="00034712" w:rsidRDefault="00034712" w:rsidP="00034712">
                  <w:pPr>
                    <w:ind w:left="99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z uwzględnieniem wagi pacjenta lub nie,</w:t>
                  </w:r>
                </w:p>
                <w:p w14:paraId="4A4C9B08" w14:textId="77777777" w:rsidR="00034712" w:rsidRDefault="00034712" w:rsidP="00034712">
                  <w:pPr>
                    <w:ind w:left="99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 xml:space="preserve">z uwzględnieniem powierzchni pacjenta lub nie, </w:t>
                  </w:r>
                </w:p>
                <w:p w14:paraId="77E4700C" w14:textId="77777777" w:rsidR="00034712" w:rsidRDefault="00034712" w:rsidP="00034712">
                  <w:pPr>
                    <w:ind w:left="99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na min, godz., dobę.</w:t>
                  </w:r>
                </w:p>
              </w:tc>
            </w:tr>
            <w:tr w:rsidR="00034712" w14:paraId="4DE4A2E9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AE7B148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5890527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 w:cs="Arial"/>
                      <w:color w:val="000000"/>
                    </w:rPr>
                    <w:t>Tryby dozowania:</w:t>
                  </w:r>
                </w:p>
                <w:p w14:paraId="14977586" w14:textId="77777777" w:rsidR="00034712" w:rsidRPr="00034712" w:rsidRDefault="00034712" w:rsidP="00034712">
                  <w:pPr>
                    <w:numPr>
                      <w:ilvl w:val="0"/>
                      <w:numId w:val="12"/>
                    </w:numPr>
                    <w:suppressAutoHyphens/>
                    <w:snapToGrid w:val="0"/>
                    <w:ind w:hanging="261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Infuzja ciągła,</w:t>
                  </w:r>
                </w:p>
                <w:p w14:paraId="11844CAE" w14:textId="77777777" w:rsidR="00034712" w:rsidRDefault="00034712" w:rsidP="00034712">
                  <w:pPr>
                    <w:numPr>
                      <w:ilvl w:val="0"/>
                      <w:numId w:val="12"/>
                    </w:numPr>
                    <w:suppressAutoHyphens/>
                    <w:snapToGrid w:val="0"/>
                    <w:ind w:hanging="261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Infuzja okresowa (bolusowa),</w:t>
                  </w:r>
                </w:p>
                <w:p w14:paraId="1B7E6F21" w14:textId="77777777" w:rsidR="00034712" w:rsidRDefault="00034712" w:rsidP="00034712">
                  <w:pPr>
                    <w:numPr>
                      <w:ilvl w:val="0"/>
                      <w:numId w:val="12"/>
                    </w:numPr>
                    <w:suppressAutoHyphens/>
                    <w:snapToGrid w:val="0"/>
                    <w:ind w:hanging="261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Infuzja profilowa (24 kroki infuzji),</w:t>
                  </w:r>
                </w:p>
                <w:p w14:paraId="5C79F624" w14:textId="77777777" w:rsidR="00034712" w:rsidRDefault="00034712" w:rsidP="00034712">
                  <w:pPr>
                    <w:numPr>
                      <w:ilvl w:val="0"/>
                      <w:numId w:val="12"/>
                    </w:numPr>
                    <w:suppressAutoHyphens/>
                    <w:snapToGrid w:val="0"/>
                    <w:ind w:hanging="261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Infuzja TPN (narastanie / utrzymanie / opadanie).</w:t>
                  </w:r>
                </w:p>
              </w:tc>
            </w:tr>
            <w:tr w:rsidR="00034712" w14:paraId="776D1B7C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574AAAB2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68357A3" w14:textId="77777777" w:rsidR="00034712" w:rsidRPr="00034712" w:rsidRDefault="00034712" w:rsidP="00034712">
                  <w:pPr>
                    <w:snapToGrid w:val="0"/>
                    <w:rPr>
                      <w:b/>
                    </w:rPr>
                  </w:pPr>
                  <w:r>
                    <w:t xml:space="preserve">Czytelny, kolorowy wyświetlacz z możliwością wyświetlenia następujących informacji jednocześnie: </w:t>
                  </w:r>
                </w:p>
                <w:p w14:paraId="57C5F469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nazwa leku,</w:t>
                  </w:r>
                </w:p>
                <w:p w14:paraId="603E4512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koncentracja leku,</w:t>
                  </w:r>
                </w:p>
                <w:p w14:paraId="4FECB714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szybkość infuzji,</w:t>
                  </w:r>
                </w:p>
                <w:p w14:paraId="4738578D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informacji, że wartość szybkości infuzji mieści się w zalecanym zakresie lub znajduje się w zakresie limitu miękkiego dolnego lub górnego,</w:t>
                  </w:r>
                </w:p>
                <w:p w14:paraId="57839B88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podana dawka,</w:t>
                  </w:r>
                </w:p>
                <w:p w14:paraId="6EF28C0A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poziom limitów dla szybkości infuzji,</w:t>
                  </w:r>
                </w:p>
                <w:p w14:paraId="69F36174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czas do końca dawki w formie graficznej,</w:t>
                  </w:r>
                </w:p>
                <w:p w14:paraId="38EE88DD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kategorii leku wyodrębnionej kolorem,</w:t>
                  </w:r>
                </w:p>
                <w:p w14:paraId="32056B71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ind w:left="358" w:hanging="284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stan naładowania akumulatora,</w:t>
                  </w:r>
                </w:p>
                <w:p w14:paraId="14F789C6" w14:textId="77777777" w:rsidR="00034712" w:rsidRDefault="00034712" w:rsidP="00034712">
                  <w:pPr>
                    <w:numPr>
                      <w:ilvl w:val="0"/>
                      <w:numId w:val="13"/>
                    </w:numPr>
                    <w:suppressAutoHyphens/>
                    <w:snapToGrid w:val="0"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aktualne ciśnienie w linii pacjenta w formie graficznej.</w:t>
                  </w:r>
                </w:p>
              </w:tc>
            </w:tr>
            <w:tr w:rsidR="00034712" w14:paraId="4901C95F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FC46AD8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D43B19E" w14:textId="77777777" w:rsidR="00034712" w:rsidRPr="00034712" w:rsidRDefault="00034712" w:rsidP="00034712">
                  <w:pPr>
                    <w:snapToGrid w:val="0"/>
                    <w:rPr>
                      <w:rFonts w:ascii="Calibri" w:hAnsi="Calibri"/>
                      <w:bCs/>
                      <w:color w:val="000000"/>
                    </w:rPr>
                  </w:pPr>
                  <w:r>
                    <w:rPr>
                      <w:rFonts w:ascii="Calibri" w:hAnsi="Calibri"/>
                      <w:bCs/>
                      <w:color w:val="000000"/>
                    </w:rPr>
                    <w:t>Kolorystyczne wyróżnienie ekranu infuzji do żywienia dojelitowego względem innych realizowanych infuzji.</w:t>
                  </w:r>
                </w:p>
              </w:tc>
            </w:tr>
            <w:tr w:rsidR="00034712" w14:paraId="0874580C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4972C95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6963FA0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Programowanie parametrów podaży bolusa oraz bolusa wstępnego (dawki indukcyjnej):</w:t>
                  </w:r>
                </w:p>
                <w:p w14:paraId="1D139B65" w14:textId="77777777" w:rsidR="00034712" w:rsidRDefault="00034712" w:rsidP="00034712">
                  <w:pPr>
                    <w:numPr>
                      <w:ilvl w:val="0"/>
                      <w:numId w:val="14"/>
                    </w:numPr>
                    <w:suppressAutoHyphens/>
                    <w:snapToGrid w:val="0"/>
                    <w:ind w:hanging="261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objętość / dawka,</w:t>
                  </w:r>
                </w:p>
                <w:p w14:paraId="143D22FF" w14:textId="77777777" w:rsidR="00034712" w:rsidRDefault="00034712" w:rsidP="00034712">
                  <w:pPr>
                    <w:numPr>
                      <w:ilvl w:val="0"/>
                      <w:numId w:val="14"/>
                    </w:numPr>
                    <w:suppressAutoHyphens/>
                    <w:snapToGrid w:val="0"/>
                    <w:ind w:hanging="261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czas lub szybkość podaży.</w:t>
                  </w:r>
                </w:p>
              </w:tc>
            </w:tr>
            <w:tr w:rsidR="00034712" w14:paraId="42DB8E2D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2627BCE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734778F" w14:textId="77777777" w:rsidR="00034712" w:rsidRPr="00034712" w:rsidRDefault="00034712" w:rsidP="00034712">
                  <w:pPr>
                    <w:snapToGrid w:val="0"/>
                    <w:rPr>
                      <w:rFonts w:ascii="Calibri" w:hAnsi="Calibri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Bolus manualny. Bolus automatyczny z zaprogramowaną dawką.</w:t>
                  </w:r>
                </w:p>
              </w:tc>
            </w:tr>
            <w:tr w:rsidR="00034712" w14:paraId="5C723871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BEA3D65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4423EDB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/>
                    </w:rPr>
                    <w:t>Automatyczne zmniejszenie szybkości podaży bolusa, w celu uniknięcia przerwania jego podaży alarmem okluzji.</w:t>
                  </w:r>
                </w:p>
              </w:tc>
            </w:tr>
            <w:tr w:rsidR="00034712" w14:paraId="25CB73C7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4EC1B92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0EA85AF" w14:textId="77777777" w:rsidR="00034712" w:rsidRPr="00034712" w:rsidRDefault="00034712" w:rsidP="00034712">
                  <w:pPr>
                    <w:snapToGrid w:val="0"/>
                    <w:rPr>
                      <w:b/>
                      <w:color w:val="000000"/>
                    </w:rPr>
                  </w:pPr>
                  <w:r>
                    <w:rPr>
                      <w:color w:val="000000"/>
                    </w:rPr>
                    <w:t>Możliwość wgrania do pompy biblioteki leków złożonej z procedur dozowania zawierających co najmniej:</w:t>
                  </w:r>
                </w:p>
                <w:p w14:paraId="101755A8" w14:textId="77777777" w:rsidR="00034712" w:rsidRDefault="00034712" w:rsidP="00034712">
                  <w:pPr>
                    <w:numPr>
                      <w:ilvl w:val="0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>nazwy leku,</w:t>
                  </w:r>
                </w:p>
                <w:p w14:paraId="6A3DC1A8" w14:textId="77777777" w:rsidR="00034712" w:rsidRDefault="00034712" w:rsidP="00034712">
                  <w:pPr>
                    <w:numPr>
                      <w:ilvl w:val="0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>10 koncentracji leku,</w:t>
                  </w:r>
                </w:p>
                <w:p w14:paraId="5E3B29A3" w14:textId="77777777" w:rsidR="00034712" w:rsidRDefault="00034712" w:rsidP="00034712">
                  <w:pPr>
                    <w:numPr>
                      <w:ilvl w:val="0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>szybkości dozowania (dawkowanie),</w:t>
                  </w:r>
                </w:p>
                <w:p w14:paraId="1EB949BA" w14:textId="77777777" w:rsidR="00034712" w:rsidRDefault="00034712" w:rsidP="00034712">
                  <w:pPr>
                    <w:numPr>
                      <w:ilvl w:val="0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>całkowitej objętości (dawki) infuzji,</w:t>
                  </w:r>
                </w:p>
                <w:p w14:paraId="454E338B" w14:textId="77777777" w:rsidR="00034712" w:rsidRDefault="00034712" w:rsidP="00034712">
                  <w:pPr>
                    <w:numPr>
                      <w:ilvl w:val="0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>parametrów bolusa, oraz dawki indukcyjnej,</w:t>
                  </w:r>
                </w:p>
                <w:p w14:paraId="641C4691" w14:textId="77777777" w:rsidR="00034712" w:rsidRDefault="00034712" w:rsidP="00034712">
                  <w:pPr>
                    <w:numPr>
                      <w:ilvl w:val="0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>limitów dla wymienionych parametrów infuzji:</w:t>
                  </w:r>
                </w:p>
                <w:p w14:paraId="2BCC182C" w14:textId="77777777" w:rsidR="00034712" w:rsidRDefault="00034712" w:rsidP="00034712">
                  <w:pPr>
                    <w:numPr>
                      <w:ilvl w:val="1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 xml:space="preserve">miękkich, ostrzegających o przekroczeniu zalecanych wartości parametrów, </w:t>
                  </w:r>
                </w:p>
                <w:p w14:paraId="4FC80E40" w14:textId="77777777" w:rsidR="00034712" w:rsidRDefault="00034712" w:rsidP="00034712">
                  <w:pPr>
                    <w:numPr>
                      <w:ilvl w:val="1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>twardych – blokujących możliwość wprowadzenia wartości spoza ich zakresu.</w:t>
                  </w:r>
                </w:p>
                <w:p w14:paraId="48D784EA" w14:textId="77777777" w:rsidR="00034712" w:rsidRDefault="00034712" w:rsidP="00034712">
                  <w:pPr>
                    <w:numPr>
                      <w:ilvl w:val="0"/>
                      <w:numId w:val="15"/>
                    </w:numPr>
                    <w:suppressAutoHyphens/>
                    <w:snapToGrid w:val="0"/>
                    <w:rPr>
                      <w:b/>
                    </w:rPr>
                  </w:pPr>
                  <w:r>
                    <w:t>Notatki doradczej możliwej do odczytania przed rozpoczęciem infuzji.</w:t>
                  </w:r>
                </w:p>
                <w:p w14:paraId="0F12F2C8" w14:textId="77777777" w:rsidR="00034712" w:rsidRDefault="00034712" w:rsidP="00034712">
                  <w:pPr>
                    <w:snapToGrid w:val="0"/>
                    <w:rPr>
                      <w:b/>
                    </w:rPr>
                  </w:pPr>
                  <w:r>
                    <w:t>Podział biblioteki na osobne grupy dedykowane poszczególnym oddziałom szpitalnym, do 40 oddziałów. Wybór oddziału dostępny w pompie.</w:t>
                  </w:r>
                </w:p>
                <w:p w14:paraId="64F89A1A" w14:textId="77777777" w:rsidR="00034712" w:rsidRDefault="00034712" w:rsidP="00034712">
                  <w:pPr>
                    <w:snapToGrid w:val="0"/>
                    <w:rPr>
                      <w:b/>
                    </w:rPr>
                  </w:pPr>
                  <w:r>
                    <w:t>Podział biblioteki dedykowanej oddziałom na 40 kategorii lekowych.</w:t>
                  </w:r>
                </w:p>
                <w:p w14:paraId="303CC12C" w14:textId="77777777" w:rsidR="00034712" w:rsidRDefault="00034712" w:rsidP="00034712">
                  <w:pPr>
                    <w:numPr>
                      <w:ilvl w:val="0"/>
                      <w:numId w:val="16"/>
                    </w:numPr>
                    <w:suppressAutoHyphens/>
                    <w:snapToGrid w:val="0"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t>Pojemność biblioteki 5000 procedur dozowania leków.</w:t>
                  </w:r>
                </w:p>
              </w:tc>
            </w:tr>
            <w:tr w:rsidR="00034712" w14:paraId="1007C487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09255504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83B2502" w14:textId="77777777" w:rsidR="00034712" w:rsidRDefault="00034712" w:rsidP="00034712">
                  <w:pPr>
                    <w:tabs>
                      <w:tab w:val="left" w:pos="360"/>
                    </w:tabs>
                    <w:snapToGrid w:val="0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Zabezpieczenie przed gwałtowną zmianą szybkości w trakcie trwania infuzji (miareczkowanie).</w:t>
                  </w:r>
                </w:p>
              </w:tc>
            </w:tr>
            <w:tr w:rsidR="00034712" w14:paraId="7661DCFB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150B19D4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5EAA8FD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Napisy na wyświetlaczu w języku polskim.</w:t>
                  </w:r>
                </w:p>
              </w:tc>
            </w:tr>
            <w:tr w:rsidR="00034712" w14:paraId="731444FC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36778AE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38D697A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bCs/>
                    </w:rPr>
                  </w:pPr>
                  <w:r>
                    <w:rPr>
                      <w:rFonts w:ascii="Calibri" w:hAnsi="Calibri" w:cs="Arial"/>
                      <w:bCs/>
                    </w:rPr>
                    <w:t>Regulowane progi ciśnienia okluzji, 12 poziomów.</w:t>
                  </w:r>
                </w:p>
              </w:tc>
            </w:tr>
            <w:tr w:rsidR="00034712" w14:paraId="20537178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BA76551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FE6B250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bCs/>
                    </w:rPr>
                  </w:pPr>
                  <w:r>
                    <w:rPr>
                      <w:rFonts w:ascii="Calibri" w:hAnsi="Calibri" w:cs="Arial"/>
                      <w:bCs/>
                    </w:rPr>
                    <w:t>Progi ciśnienia regulowane, w zakresie 75 - 900 mmHg.</w:t>
                  </w:r>
                </w:p>
              </w:tc>
            </w:tr>
            <w:tr w:rsidR="00034712" w14:paraId="1F7FAE58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C34CA3B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03F17C5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Zmiana progu ciśnienia okluzji bez przerywania infuzji.</w:t>
                  </w:r>
                </w:p>
              </w:tc>
            </w:tr>
            <w:tr w:rsidR="00034712" w14:paraId="2E06AEFD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00502E47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F0C1823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 xml:space="preserve">Automatyczna redukcja bolusa </w:t>
                  </w:r>
                  <w:proofErr w:type="spellStart"/>
                  <w:r>
                    <w:rPr>
                      <w:rFonts w:ascii="Calibri" w:hAnsi="Calibri" w:cs="Arial"/>
                    </w:rPr>
                    <w:t>okluzyjnego</w:t>
                  </w:r>
                  <w:proofErr w:type="spellEnd"/>
                  <w:r>
                    <w:rPr>
                      <w:rFonts w:ascii="Calibri" w:hAnsi="Calibri" w:cs="Arial"/>
                    </w:rPr>
                    <w:t>.</w:t>
                  </w:r>
                </w:p>
              </w:tc>
            </w:tr>
            <w:tr w:rsidR="00034712" w14:paraId="0B8B4E8C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5173F195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807BA84" w14:textId="77777777" w:rsidR="00034712" w:rsidRDefault="00034712" w:rsidP="00034712">
                  <w:pPr>
                    <w:tabs>
                      <w:tab w:val="left" w:pos="1428"/>
                    </w:tabs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Priorytetowy system alarmów, zapewniający zróżnicowany sygnał dźwiękowy i świetlny, zależnie od stopnia zagrożenia.</w:t>
                  </w:r>
                </w:p>
              </w:tc>
            </w:tr>
            <w:tr w:rsidR="00034712" w14:paraId="1E18AF1B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A50F63F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F03C13B" w14:textId="77777777" w:rsidR="00034712" w:rsidRDefault="00034712" w:rsidP="00034712">
                  <w:pPr>
                    <w:tabs>
                      <w:tab w:val="left" w:pos="1428"/>
                    </w:tabs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/>
                    </w:rPr>
                    <w:t>Dostępność polskojęzycznego oprogramowania komputerowego do tworzenia i przesyłania do pompy biblioteki leków.</w:t>
                  </w:r>
                </w:p>
              </w:tc>
            </w:tr>
            <w:tr w:rsidR="00034712" w14:paraId="3D7F9E9E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4025AE7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9661D51" w14:textId="77777777" w:rsidR="00034712" w:rsidRDefault="00034712" w:rsidP="00034712">
                  <w:pPr>
                    <w:tabs>
                      <w:tab w:val="left" w:pos="1428"/>
                    </w:tabs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Wysokość pompy 11,5 cm.</w:t>
                  </w:r>
                </w:p>
              </w:tc>
            </w:tr>
            <w:tr w:rsidR="00034712" w14:paraId="0F14BA43" w14:textId="77777777" w:rsidTr="00034712">
              <w:trPr>
                <w:cantSplit/>
                <w:trHeight w:val="136"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3F4E658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5359ABB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Możliwość instalacji pompy w stacji dokującej:</w:t>
                  </w:r>
                </w:p>
                <w:p w14:paraId="347DCCD4" w14:textId="77777777" w:rsidR="00034712" w:rsidRDefault="00034712" w:rsidP="00034712">
                  <w:pPr>
                    <w:numPr>
                      <w:ilvl w:val="0"/>
                      <w:numId w:val="17"/>
                    </w:numPr>
                    <w:suppressAutoHyphens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zatrzaskowe mocowanie z automatyczną blokadą, bez konieczności przykręcania,</w:t>
                  </w:r>
                </w:p>
                <w:p w14:paraId="5927B323" w14:textId="77777777" w:rsidR="00034712" w:rsidRDefault="00034712" w:rsidP="00034712">
                  <w:pPr>
                    <w:numPr>
                      <w:ilvl w:val="0"/>
                      <w:numId w:val="17"/>
                    </w:numPr>
                    <w:suppressAutoHyphens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alarm nieprawidłowego mocowania,</w:t>
                  </w:r>
                </w:p>
                <w:p w14:paraId="6310228D" w14:textId="77777777" w:rsidR="00034712" w:rsidRDefault="00034712" w:rsidP="00034712">
                  <w:pPr>
                    <w:numPr>
                      <w:ilvl w:val="0"/>
                      <w:numId w:val="17"/>
                    </w:numPr>
                    <w:suppressAutoHyphens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 xml:space="preserve">pompy mocowane niezależnie, jedna nad drugą, </w:t>
                  </w:r>
                </w:p>
                <w:p w14:paraId="7D0A5715" w14:textId="77777777" w:rsidR="00034712" w:rsidRDefault="00034712" w:rsidP="00034712">
                  <w:pPr>
                    <w:numPr>
                      <w:ilvl w:val="0"/>
                      <w:numId w:val="17"/>
                    </w:numPr>
                    <w:suppressAutoHyphens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automatyczne przyłączenie zasilania ze stacji dokującej,</w:t>
                  </w:r>
                </w:p>
                <w:p w14:paraId="10BBB4FF" w14:textId="77777777" w:rsidR="00034712" w:rsidRDefault="00034712" w:rsidP="00034712">
                  <w:pPr>
                    <w:numPr>
                      <w:ilvl w:val="0"/>
                      <w:numId w:val="17"/>
                    </w:numPr>
                    <w:suppressAutoHyphens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automatyczne przyłączenie portu komunikacyjnego ze stacji dokującej,</w:t>
                  </w:r>
                </w:p>
                <w:p w14:paraId="0C1B5190" w14:textId="77777777" w:rsidR="00034712" w:rsidRDefault="00034712" w:rsidP="00034712">
                  <w:pPr>
                    <w:numPr>
                      <w:ilvl w:val="0"/>
                      <w:numId w:val="17"/>
                    </w:numPr>
                    <w:suppressAutoHyphens/>
                    <w:ind w:left="358" w:hanging="284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świetlna sygnalizacja stanu pomp: infuzja, alarm, STOP.</w:t>
                  </w:r>
                </w:p>
              </w:tc>
            </w:tr>
            <w:tr w:rsidR="00034712" w14:paraId="3A137259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93A519E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3D59D37F" w14:textId="77777777" w:rsidR="00034712" w:rsidRPr="00034712" w:rsidRDefault="00034712" w:rsidP="00034712">
                  <w:pPr>
                    <w:rPr>
                      <w:rFonts w:ascii="Calibri" w:hAnsi="Calibri"/>
                      <w:b/>
                      <w:bCs/>
                    </w:rPr>
                  </w:pPr>
                  <w:r>
                    <w:rPr>
                      <w:rFonts w:ascii="Calibri" w:hAnsi="Calibri"/>
                      <w:bCs/>
                    </w:rPr>
                    <w:t>Mocowanie pojedynczej pompy do statywów lub pionowych kolumn niewymagające dołączenia jakichkolwiek części, w szczególności uchwytu mocującego, po bezpośrednim wyjęciu pompy z stacji dokującej.</w:t>
                  </w:r>
                </w:p>
              </w:tc>
            </w:tr>
            <w:tr w:rsidR="00034712" w14:paraId="75999B3F" w14:textId="77777777" w:rsidTr="00034712">
              <w:trPr>
                <w:cantSplit/>
                <w:trHeight w:val="136"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1716978D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8C0C02E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</w:rPr>
                  </w:pPr>
                  <w:r>
                    <w:rPr>
                      <w:rFonts w:ascii="Calibri" w:hAnsi="Calibri"/>
                    </w:rPr>
                    <w:t>Mocowanie pomp w stacji dokującej niewymagające odłączenia jakichkolwiek części, w szczególności uchwytu mocującego, po bezpośrednim zdjęciu pompy ze statywu.</w:t>
                  </w:r>
                </w:p>
              </w:tc>
            </w:tr>
            <w:tr w:rsidR="00034712" w14:paraId="6670B9E2" w14:textId="77777777" w:rsidTr="00034712">
              <w:trPr>
                <w:cantSplit/>
                <w:trHeight w:val="136"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0E5A75D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5526EC8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bCs/>
                    </w:rPr>
                  </w:pPr>
                  <w:r>
                    <w:rPr>
                      <w:rFonts w:ascii="Calibri" w:hAnsi="Calibri" w:cs="Arial"/>
                      <w:bCs/>
                    </w:rPr>
                    <w:t>Uchwyt do przenoszenia pompy na stałe związany z pompą, niewymagający odłączania przy mocowaniu pomp w stacjach dokujących.</w:t>
                  </w:r>
                </w:p>
              </w:tc>
            </w:tr>
            <w:tr w:rsidR="00034712" w14:paraId="2490468B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0D97FB08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A8612E9" w14:textId="77777777" w:rsidR="00034712" w:rsidRDefault="00034712" w:rsidP="00034712">
                  <w:pPr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 xml:space="preserve">Możliwość komunikacji pomp umieszczonych w stacjach dokujących wyposażonych w </w:t>
                  </w:r>
                  <w:proofErr w:type="spellStart"/>
                  <w:r>
                    <w:rPr>
                      <w:rFonts w:ascii="Calibri" w:hAnsi="Calibri" w:cs="Arial"/>
                    </w:rPr>
                    <w:t>interface</w:t>
                  </w:r>
                  <w:proofErr w:type="spellEnd"/>
                  <w:r>
                    <w:rPr>
                      <w:rFonts w:ascii="Calibri" w:hAnsi="Calibri" w:cs="Arial"/>
                    </w:rPr>
                    <w:t xml:space="preserve"> LAN z oprogramowaniem zewnętrznym.</w:t>
                  </w:r>
                </w:p>
              </w:tc>
            </w:tr>
            <w:tr w:rsidR="00034712" w14:paraId="6CEA6E87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4DEF0A6D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66FDFD2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Historia infuzji – możliwość zapamiętania min. 2000 pełnych infuzji.</w:t>
                  </w:r>
                </w:p>
              </w:tc>
            </w:tr>
            <w:tr w:rsidR="00034712" w14:paraId="1D86C1EE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89F18D1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A87F9CC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 xml:space="preserve">Klasa ochrony II, typ CF, odporność na defibrylację, </w:t>
                  </w:r>
                  <w:r>
                    <w:rPr>
                      <w:rFonts w:ascii="Calibri" w:hAnsi="Calibri"/>
                    </w:rPr>
                    <w:t xml:space="preserve">stopień ochrony obudowy </w:t>
                  </w:r>
                  <w:r>
                    <w:rPr>
                      <w:rFonts w:ascii="Calibri" w:hAnsi="Calibri" w:cs="Arial"/>
                    </w:rPr>
                    <w:t>IP22.</w:t>
                  </w:r>
                </w:p>
              </w:tc>
            </w:tr>
            <w:tr w:rsidR="00034712" w14:paraId="406CC467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55CA917D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73C53EE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Zasilanie pomp mocowanych poza stacją dokującą bezpośrednio z sieci energetycznej.</w:t>
                  </w:r>
                </w:p>
              </w:tc>
            </w:tr>
            <w:tr w:rsidR="00034712" w14:paraId="1B74B009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7B76F52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33676B4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  <w:bCs/>
                    </w:rPr>
                  </w:pPr>
                  <w:r>
                    <w:rPr>
                      <w:rFonts w:ascii="Calibri" w:hAnsi="Calibri" w:cs="Arial"/>
                      <w:bCs/>
                    </w:rPr>
                    <w:t>Czas pracy z akumulatora 15 h przy infuzji 25 ml/h.</w:t>
                  </w:r>
                </w:p>
              </w:tc>
            </w:tr>
            <w:tr w:rsidR="00034712" w14:paraId="2CC6C682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691F82C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8EAA4F3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</w:rPr>
                  </w:pPr>
                  <w:r>
                    <w:rPr>
                      <w:rFonts w:ascii="Calibri" w:hAnsi="Calibri" w:cs="Arial"/>
                    </w:rPr>
                    <w:t>Czas ładowania akumulatora do 100% po pełnym rozładowaniu – do 5 h.</w:t>
                  </w:r>
                </w:p>
              </w:tc>
            </w:tr>
            <w:tr w:rsidR="00034712" w14:paraId="1093448A" w14:textId="77777777" w:rsidTr="00034712">
              <w:trPr>
                <w:cantSplit/>
              </w:trPr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0BA46F6" w14:textId="77777777" w:rsidR="00034712" w:rsidRDefault="00034712" w:rsidP="00034712">
                  <w:pPr>
                    <w:numPr>
                      <w:ilvl w:val="0"/>
                      <w:numId w:val="9"/>
                    </w:numPr>
                    <w:suppressAutoHyphens/>
                    <w:snapToGrid w:val="0"/>
                    <w:ind w:left="470" w:hanging="357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828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5412E1F" w14:textId="77777777" w:rsidR="00034712" w:rsidRDefault="00034712" w:rsidP="00034712">
                  <w:pPr>
                    <w:snapToGrid w:val="0"/>
                    <w:rPr>
                      <w:rFonts w:ascii="Calibri" w:hAnsi="Calibri" w:cs="Arial"/>
                      <w:b/>
                    </w:rPr>
                  </w:pPr>
                  <w:r>
                    <w:rPr>
                      <w:rFonts w:ascii="Calibri" w:hAnsi="Calibri" w:cs="Arial"/>
                    </w:rPr>
                    <w:t>Waga 2,39 kg.</w:t>
                  </w:r>
                </w:p>
              </w:tc>
            </w:tr>
          </w:tbl>
          <w:p w14:paraId="625621F8" w14:textId="77777777" w:rsidR="00097298" w:rsidRPr="00097298" w:rsidRDefault="00097298" w:rsidP="0009729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298">
              <w:rPr>
                <w:rFonts w:ascii="Arial" w:hAnsi="Arial" w:cs="Arial"/>
                <w:sz w:val="22"/>
                <w:szCs w:val="22"/>
              </w:rPr>
              <w:t>Odpowiedź: Zamawiający dopuszcza także.</w:t>
            </w:r>
          </w:p>
          <w:p w14:paraId="5F26AAF6" w14:textId="77777777" w:rsidR="00097298" w:rsidRDefault="00097298" w:rsidP="0009729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62019C" w14:textId="69797EE6" w:rsidR="00097298" w:rsidRPr="00097298" w:rsidRDefault="00097298" w:rsidP="0009729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298">
              <w:rPr>
                <w:rFonts w:ascii="Arial" w:hAnsi="Arial" w:cs="Arial"/>
                <w:sz w:val="22"/>
                <w:szCs w:val="22"/>
              </w:rPr>
              <w:t>Dotyczy punktu nr 29 : Zwracamy się do Zamawiającego z zapytaniem , czy uzna za spełnienie warunków udziału poprzez posiadanie przez producenta oferowanego ssaka certyfikatu ISO 9001 lub Certyfikatu 13485? Odpowiedź: Zamawiający obowiązkowo wymaga certyfikatu 13485.</w:t>
            </w:r>
          </w:p>
          <w:p w14:paraId="44E3A1BE" w14:textId="77777777" w:rsidR="00034712" w:rsidRPr="004E4B64" w:rsidRDefault="00034712" w:rsidP="0003471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473AD1" w14:textId="77777777" w:rsidR="006D4AB3" w:rsidRDefault="006D4AB3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097298">
        <w:rPr>
          <w:rFonts w:ascii="Arial" w:hAnsi="Arial" w:cs="Arial"/>
          <w:sz w:val="22"/>
          <w:szCs w:val="22"/>
        </w:rPr>
        <w:t>Zamawiający</w:t>
      </w:r>
    </w:p>
    <w:p w14:paraId="5AD8C4B9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5E7158A3" w14:textId="77777777" w:rsidR="00B10395" w:rsidRPr="00B10395" w:rsidRDefault="00B10395" w:rsidP="00B10395">
      <w:pPr>
        <w:pStyle w:val="Tekstpodstawowy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>/-/ p.o. Z-</w:t>
      </w:r>
      <w:proofErr w:type="spellStart"/>
      <w:r w:rsidRPr="00B10395">
        <w:rPr>
          <w:rFonts w:ascii="Arial" w:hAnsi="Arial" w:cs="Arial"/>
          <w:i/>
          <w:sz w:val="22"/>
          <w:szCs w:val="22"/>
        </w:rPr>
        <w:t>cy</w:t>
      </w:r>
      <w:proofErr w:type="spellEnd"/>
      <w:r w:rsidRPr="00B10395">
        <w:rPr>
          <w:rFonts w:ascii="Arial" w:hAnsi="Arial" w:cs="Arial"/>
          <w:i/>
          <w:sz w:val="22"/>
          <w:szCs w:val="22"/>
        </w:rPr>
        <w:t xml:space="preserve"> Dyrektora ds. Administracyjnych</w:t>
      </w:r>
    </w:p>
    <w:p w14:paraId="3D624174" w14:textId="77777777" w:rsidR="00B10395" w:rsidRPr="00B10395" w:rsidRDefault="00B10395" w:rsidP="00B10395">
      <w:pPr>
        <w:pStyle w:val="Tekstpodstawowy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>Krystyna Piątkowska</w:t>
      </w:r>
    </w:p>
    <w:p w14:paraId="1756EC21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173EEC23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6669F9F7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54E5C55C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2DDFFF3D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571A7A20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055A1C79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2A183171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579A2BFC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2EB9F216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597683F7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5FDFB388" w14:textId="77777777" w:rsidR="00B10395" w:rsidRDefault="00B10395" w:rsidP="00034712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B1039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AA9CB" w14:textId="77777777" w:rsidR="00952C98" w:rsidRDefault="00952C98">
      <w:r>
        <w:separator/>
      </w:r>
    </w:p>
  </w:endnote>
  <w:endnote w:type="continuationSeparator" w:id="0">
    <w:p w14:paraId="51754C5A" w14:textId="77777777" w:rsidR="00952C98" w:rsidRDefault="00952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DEA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0F2D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4827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2D2F7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1F76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CC93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402C6A" w14:textId="77777777" w:rsidR="006D4AB3" w:rsidRDefault="006D4AB3">
    <w:pPr>
      <w:pStyle w:val="Stopka"/>
      <w:tabs>
        <w:tab w:val="clear" w:pos="4536"/>
        <w:tab w:val="left" w:pos="6237"/>
      </w:tabs>
    </w:pPr>
  </w:p>
  <w:p w14:paraId="3EF4AF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4A8AF" w14:textId="77777777" w:rsidR="00952C98" w:rsidRDefault="00952C98">
      <w:r>
        <w:separator/>
      </w:r>
    </w:p>
  </w:footnote>
  <w:footnote w:type="continuationSeparator" w:id="0">
    <w:p w14:paraId="606E25D6" w14:textId="77777777" w:rsidR="00952C98" w:rsidRDefault="00952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4235F" w14:textId="77777777" w:rsidR="00A01D2D" w:rsidRDefault="00A01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BB291" w14:textId="77777777" w:rsidR="00A01D2D" w:rsidRDefault="00A01D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242D6" w14:textId="77777777" w:rsidR="00A01D2D" w:rsidRDefault="00A01D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11F09"/>
    <w:multiLevelType w:val="hybridMultilevel"/>
    <w:tmpl w:val="226E4A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46504"/>
    <w:multiLevelType w:val="hybridMultilevel"/>
    <w:tmpl w:val="1C34368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E6C12A4"/>
    <w:multiLevelType w:val="hybridMultilevel"/>
    <w:tmpl w:val="303E10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0566D"/>
    <w:multiLevelType w:val="hybridMultilevel"/>
    <w:tmpl w:val="CD3054D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4AE7C39"/>
    <w:multiLevelType w:val="hybridMultilevel"/>
    <w:tmpl w:val="D362D9E8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FC3270"/>
    <w:multiLevelType w:val="hybridMultilevel"/>
    <w:tmpl w:val="7D689A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1B6402"/>
    <w:multiLevelType w:val="hybridMultilevel"/>
    <w:tmpl w:val="BF746A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36570D"/>
    <w:multiLevelType w:val="hybridMultilevel"/>
    <w:tmpl w:val="EBF24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BD465B8"/>
    <w:multiLevelType w:val="hybridMultilevel"/>
    <w:tmpl w:val="13C81BE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9335663">
    <w:abstractNumId w:val="10"/>
  </w:num>
  <w:num w:numId="2" w16cid:durableId="1900675686">
    <w:abstractNumId w:val="16"/>
  </w:num>
  <w:num w:numId="3" w16cid:durableId="546143338">
    <w:abstractNumId w:val="7"/>
  </w:num>
  <w:num w:numId="4" w16cid:durableId="928544524">
    <w:abstractNumId w:val="14"/>
  </w:num>
  <w:num w:numId="5" w16cid:durableId="1794132292">
    <w:abstractNumId w:val="2"/>
  </w:num>
  <w:num w:numId="6" w16cid:durableId="42410697">
    <w:abstractNumId w:val="5"/>
  </w:num>
  <w:num w:numId="7" w16cid:durableId="1070007660">
    <w:abstractNumId w:val="13"/>
  </w:num>
  <w:num w:numId="8" w16cid:durableId="2674652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64182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536889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83102537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209099524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58402257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31314403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72387055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9535464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38571177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C98"/>
    <w:rsid w:val="00031374"/>
    <w:rsid w:val="00034712"/>
    <w:rsid w:val="00097298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15C80"/>
    <w:rsid w:val="00952C98"/>
    <w:rsid w:val="00A01D2D"/>
    <w:rsid w:val="00A905AC"/>
    <w:rsid w:val="00B10395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A9EA0"/>
  <w15:chartTrackingRefBased/>
  <w15:docId w15:val="{F7B26F57-3D10-421E-BC05-C46659F8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1595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2025-06-12T10:42:00Z</cp:lastPrinted>
  <dcterms:created xsi:type="dcterms:W3CDTF">2025-06-12T10:44:00Z</dcterms:created>
  <dcterms:modified xsi:type="dcterms:W3CDTF">2025-06-12T10:44:00Z</dcterms:modified>
</cp:coreProperties>
</file>