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EF457" w14:textId="77777777" w:rsidR="00843A88" w:rsidRPr="003E3820" w:rsidRDefault="00447C8D" w:rsidP="003E3820">
      <w:pPr>
        <w:jc w:val="right"/>
        <w:rPr>
          <w:rFonts w:ascii="Arial" w:hAnsi="Arial" w:cs="Arial"/>
          <w:sz w:val="24"/>
          <w:szCs w:val="24"/>
        </w:rPr>
      </w:pPr>
      <w:r w:rsidRPr="003E3820">
        <w:rPr>
          <w:rFonts w:ascii="Arial" w:hAnsi="Arial" w:cs="Arial"/>
          <w:sz w:val="24"/>
          <w:szCs w:val="24"/>
        </w:rPr>
        <w:t>Poznań</w:t>
      </w:r>
      <w:r w:rsidR="00843A88" w:rsidRPr="003E3820">
        <w:rPr>
          <w:rFonts w:ascii="Arial" w:hAnsi="Arial" w:cs="Arial"/>
          <w:sz w:val="24"/>
          <w:szCs w:val="24"/>
        </w:rPr>
        <w:t xml:space="preserve"> dnia: </w:t>
      </w:r>
      <w:r w:rsidRPr="003E3820">
        <w:rPr>
          <w:rFonts w:ascii="Arial" w:hAnsi="Arial" w:cs="Arial"/>
          <w:sz w:val="24"/>
          <w:szCs w:val="24"/>
        </w:rPr>
        <w:t>2025-06-13</w:t>
      </w:r>
    </w:p>
    <w:p w14:paraId="53407BFB" w14:textId="77777777" w:rsidR="00447C8D" w:rsidRPr="003E3820" w:rsidRDefault="00447C8D" w:rsidP="003E3820">
      <w:pPr>
        <w:rPr>
          <w:rFonts w:ascii="Arial" w:hAnsi="Arial" w:cs="Arial"/>
          <w:b/>
          <w:bCs/>
          <w:sz w:val="24"/>
          <w:szCs w:val="24"/>
        </w:rPr>
      </w:pPr>
      <w:r w:rsidRPr="003E382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BE125DF" w14:textId="77777777" w:rsidR="00843A88" w:rsidRPr="003E3820" w:rsidRDefault="00447C8D" w:rsidP="003E3820">
      <w:pPr>
        <w:rPr>
          <w:rFonts w:ascii="Arial" w:hAnsi="Arial" w:cs="Arial"/>
          <w:b/>
          <w:bCs/>
          <w:sz w:val="24"/>
          <w:szCs w:val="24"/>
        </w:rPr>
      </w:pPr>
      <w:r w:rsidRPr="003E382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776C61C" w14:textId="77777777" w:rsidR="00843A88" w:rsidRPr="003E3820" w:rsidRDefault="00447C8D" w:rsidP="003E3820">
      <w:pPr>
        <w:rPr>
          <w:rFonts w:ascii="Arial" w:hAnsi="Arial" w:cs="Arial"/>
          <w:sz w:val="24"/>
          <w:szCs w:val="24"/>
        </w:rPr>
      </w:pPr>
      <w:r w:rsidRPr="003E3820">
        <w:rPr>
          <w:rFonts w:ascii="Arial" w:hAnsi="Arial" w:cs="Arial"/>
          <w:sz w:val="24"/>
          <w:szCs w:val="24"/>
        </w:rPr>
        <w:t>Juraszów</w:t>
      </w:r>
      <w:r w:rsidR="00843A88" w:rsidRPr="003E3820">
        <w:rPr>
          <w:rFonts w:ascii="Arial" w:hAnsi="Arial" w:cs="Arial"/>
          <w:sz w:val="24"/>
          <w:szCs w:val="24"/>
        </w:rPr>
        <w:t xml:space="preserve"> </w:t>
      </w:r>
      <w:r w:rsidRPr="003E3820">
        <w:rPr>
          <w:rFonts w:ascii="Arial" w:hAnsi="Arial" w:cs="Arial"/>
          <w:sz w:val="24"/>
          <w:szCs w:val="24"/>
        </w:rPr>
        <w:t>7/19</w:t>
      </w:r>
    </w:p>
    <w:p w14:paraId="629B01CD" w14:textId="77777777" w:rsidR="00843A88" w:rsidRPr="003E3820" w:rsidRDefault="00447C8D" w:rsidP="003E3820">
      <w:pPr>
        <w:rPr>
          <w:rFonts w:ascii="Arial" w:hAnsi="Arial" w:cs="Arial"/>
          <w:sz w:val="24"/>
          <w:szCs w:val="24"/>
        </w:rPr>
      </w:pPr>
      <w:r w:rsidRPr="003E3820">
        <w:rPr>
          <w:rFonts w:ascii="Arial" w:hAnsi="Arial" w:cs="Arial"/>
          <w:sz w:val="24"/>
          <w:szCs w:val="24"/>
        </w:rPr>
        <w:t>60-479</w:t>
      </w:r>
      <w:r w:rsidR="00843A88" w:rsidRPr="003E3820">
        <w:rPr>
          <w:rFonts w:ascii="Arial" w:hAnsi="Arial" w:cs="Arial"/>
          <w:sz w:val="24"/>
          <w:szCs w:val="24"/>
        </w:rPr>
        <w:t xml:space="preserve"> </w:t>
      </w:r>
      <w:r w:rsidRPr="003E3820">
        <w:rPr>
          <w:rFonts w:ascii="Arial" w:hAnsi="Arial" w:cs="Arial"/>
          <w:sz w:val="24"/>
          <w:szCs w:val="24"/>
        </w:rPr>
        <w:t>Poznań</w:t>
      </w:r>
    </w:p>
    <w:p w14:paraId="4310F834" w14:textId="77777777" w:rsidR="003E3820" w:rsidRPr="003E3820" w:rsidRDefault="003E3820" w:rsidP="003E382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6A243AE" w14:textId="77777777" w:rsidR="003E3820" w:rsidRPr="003E3820" w:rsidRDefault="003E3820" w:rsidP="003E382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62000AD2" w14:textId="7D0EAA25" w:rsidR="00843A88" w:rsidRPr="003E3820" w:rsidRDefault="00843A88" w:rsidP="003E382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3E3820">
        <w:rPr>
          <w:rFonts w:ascii="Arial" w:hAnsi="Arial" w:cs="Arial"/>
          <w:b/>
          <w:sz w:val="24"/>
          <w:szCs w:val="24"/>
        </w:rPr>
        <w:t>WYKONAWCY</w:t>
      </w:r>
    </w:p>
    <w:p w14:paraId="36ABFE65" w14:textId="77777777" w:rsidR="00843A88" w:rsidRPr="003E3820" w:rsidRDefault="00843A88" w:rsidP="003E382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3E3820">
        <w:rPr>
          <w:rFonts w:ascii="Arial" w:hAnsi="Arial" w:cs="Arial"/>
          <w:sz w:val="24"/>
          <w:szCs w:val="24"/>
        </w:rPr>
        <w:t>ubiegający się o zamówienie</w:t>
      </w:r>
    </w:p>
    <w:p w14:paraId="368072ED" w14:textId="77777777" w:rsidR="003E3820" w:rsidRPr="003E3820" w:rsidRDefault="003E3820" w:rsidP="003E382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F4B35F0" w14:textId="77777777" w:rsidR="004E4B64" w:rsidRPr="003E3820" w:rsidRDefault="004E4B64" w:rsidP="003E382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E3820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3E3820">
        <w:rPr>
          <w:rFonts w:ascii="Arial" w:hAnsi="Arial" w:cs="Arial"/>
          <w:sz w:val="24"/>
          <w:szCs w:val="24"/>
        </w:rPr>
        <w:t>postępowania o udzielenie zamówienia publicznego</w:t>
      </w:r>
      <w:r w:rsidRPr="003E3820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E3820" w14:paraId="2AA8E5EF" w14:textId="77777777" w:rsidTr="00FD4AEC">
        <w:tc>
          <w:tcPr>
            <w:tcW w:w="2269" w:type="dxa"/>
            <w:shd w:val="clear" w:color="auto" w:fill="auto"/>
          </w:tcPr>
          <w:p w14:paraId="036142CF" w14:textId="77777777" w:rsidR="004E4B64" w:rsidRPr="003E3820" w:rsidRDefault="004E4B64" w:rsidP="003E382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4CB42C" w14:textId="77777777" w:rsidR="004E4B64" w:rsidRPr="003E3820" w:rsidRDefault="00447C8D" w:rsidP="003E382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3820">
              <w:rPr>
                <w:rFonts w:ascii="Arial" w:hAnsi="Arial" w:cs="Arial"/>
                <w:bCs/>
                <w:sz w:val="24"/>
                <w:szCs w:val="24"/>
              </w:rPr>
              <w:t>Zakup aparatów do znieczuleń, pomp infuzyjnych w ramach realizacji zadania "Doposażenie Oddziału Anestezjologii i Intensywnej Terapii Szpitala Wojewódzkiego w Poznaniu" - 2 zadania</w:t>
            </w:r>
            <w:r w:rsidR="004E4B64" w:rsidRPr="003E382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47C8D" w:rsidRPr="003E3820" w14:paraId="78869C50" w14:textId="77777777" w:rsidTr="00C16E5F">
        <w:tc>
          <w:tcPr>
            <w:tcW w:w="2269" w:type="dxa"/>
            <w:shd w:val="clear" w:color="auto" w:fill="auto"/>
          </w:tcPr>
          <w:p w14:paraId="2C89D585" w14:textId="77777777" w:rsidR="00447C8D" w:rsidRPr="003E3820" w:rsidRDefault="00447C8D" w:rsidP="003E382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D12509" w14:textId="77777777" w:rsidR="00447C8D" w:rsidRPr="003E3820" w:rsidRDefault="00447C8D" w:rsidP="003E382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3820">
              <w:rPr>
                <w:rFonts w:ascii="Arial" w:hAnsi="Arial" w:cs="Arial"/>
                <w:bCs/>
                <w:sz w:val="24"/>
                <w:szCs w:val="24"/>
              </w:rPr>
              <w:t>SZW/DZP/62/2025</w:t>
            </w:r>
          </w:p>
        </w:tc>
      </w:tr>
    </w:tbl>
    <w:p w14:paraId="5F27A54B" w14:textId="77777777" w:rsidR="004E4B64" w:rsidRPr="003E3820" w:rsidRDefault="004E4B64" w:rsidP="003E382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3E3820" w14:paraId="1D1D7ACE" w14:textId="77777777" w:rsidTr="00C46732">
        <w:tc>
          <w:tcPr>
            <w:tcW w:w="9330" w:type="dxa"/>
            <w:shd w:val="clear" w:color="auto" w:fill="F2F2F2"/>
            <w:hideMark/>
          </w:tcPr>
          <w:p w14:paraId="0EFD0E62" w14:textId="77777777" w:rsidR="00843A88" w:rsidRPr="003E3820" w:rsidRDefault="00843A88" w:rsidP="003E382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E382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7578B10" w14:textId="77777777" w:rsidR="003E3820" w:rsidRPr="003E3820" w:rsidRDefault="003E3820" w:rsidP="003E3820">
      <w:pPr>
        <w:jc w:val="both"/>
        <w:rPr>
          <w:rFonts w:ascii="Arial" w:hAnsi="Arial" w:cs="Arial"/>
          <w:sz w:val="24"/>
          <w:szCs w:val="24"/>
        </w:rPr>
      </w:pPr>
    </w:p>
    <w:p w14:paraId="169BE511" w14:textId="62842282" w:rsidR="0012774F" w:rsidRPr="003E3820" w:rsidRDefault="00520165" w:rsidP="003E3820">
      <w:pPr>
        <w:jc w:val="both"/>
        <w:rPr>
          <w:rFonts w:ascii="Arial" w:hAnsi="Arial" w:cs="Arial"/>
          <w:sz w:val="22"/>
          <w:szCs w:val="22"/>
        </w:rPr>
      </w:pPr>
      <w:r w:rsidRPr="003E3820">
        <w:rPr>
          <w:rFonts w:ascii="Arial" w:hAnsi="Arial" w:cs="Arial"/>
          <w:sz w:val="24"/>
          <w:szCs w:val="24"/>
        </w:rPr>
        <w:t xml:space="preserve">Zamawiający, </w:t>
      </w:r>
      <w:r w:rsidR="00447C8D" w:rsidRPr="003E3820">
        <w:rPr>
          <w:rFonts w:ascii="Arial" w:hAnsi="Arial" w:cs="Arial"/>
          <w:b/>
          <w:sz w:val="24"/>
          <w:szCs w:val="24"/>
        </w:rPr>
        <w:t>Szpital Wojewódzki w Poznaniu</w:t>
      </w:r>
      <w:r w:rsidR="003E3820" w:rsidRPr="003E3820">
        <w:rPr>
          <w:rFonts w:ascii="Arial" w:hAnsi="Arial" w:cs="Arial"/>
          <w:b/>
          <w:sz w:val="24"/>
          <w:szCs w:val="24"/>
        </w:rPr>
        <w:t xml:space="preserve">, </w:t>
      </w:r>
      <w:r w:rsidR="00447C8D" w:rsidRPr="003E3820">
        <w:rPr>
          <w:rFonts w:ascii="Arial" w:hAnsi="Arial" w:cs="Arial"/>
          <w:b/>
          <w:sz w:val="24"/>
          <w:szCs w:val="24"/>
        </w:rPr>
        <w:t>Dział Zamówień Publicznych</w:t>
      </w:r>
      <w:r w:rsidRPr="003E3820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3E3820">
        <w:rPr>
          <w:rFonts w:ascii="Arial" w:hAnsi="Arial" w:cs="Arial"/>
          <w:sz w:val="24"/>
          <w:szCs w:val="24"/>
        </w:rPr>
        <w:t>284</w:t>
      </w:r>
      <w:r w:rsidRPr="003E3820">
        <w:rPr>
          <w:rFonts w:ascii="Arial" w:hAnsi="Arial" w:cs="Arial"/>
          <w:sz w:val="24"/>
          <w:szCs w:val="24"/>
        </w:rPr>
        <w:t xml:space="preserve"> ust. </w:t>
      </w:r>
      <w:r w:rsidR="0029606A" w:rsidRPr="003E3820">
        <w:rPr>
          <w:rFonts w:ascii="Arial" w:hAnsi="Arial" w:cs="Arial"/>
          <w:sz w:val="24"/>
          <w:szCs w:val="24"/>
        </w:rPr>
        <w:t>6</w:t>
      </w:r>
      <w:r w:rsidRPr="003E3820">
        <w:rPr>
          <w:rFonts w:ascii="Arial" w:hAnsi="Arial" w:cs="Arial"/>
          <w:sz w:val="24"/>
          <w:szCs w:val="24"/>
        </w:rPr>
        <w:t xml:space="preserve"> ustawy z dnia </w:t>
      </w:r>
      <w:r w:rsidR="0029606A" w:rsidRPr="003E3820">
        <w:rPr>
          <w:rFonts w:ascii="Arial" w:hAnsi="Arial" w:cs="Arial"/>
          <w:sz w:val="24"/>
          <w:szCs w:val="24"/>
        </w:rPr>
        <w:t>11</w:t>
      </w:r>
      <w:r w:rsidRPr="003E3820">
        <w:rPr>
          <w:rFonts w:ascii="Arial" w:hAnsi="Arial" w:cs="Arial"/>
          <w:sz w:val="24"/>
          <w:szCs w:val="24"/>
        </w:rPr>
        <w:t xml:space="preserve"> </w:t>
      </w:r>
      <w:r w:rsidR="0029606A" w:rsidRPr="003E3820">
        <w:rPr>
          <w:rFonts w:ascii="Arial" w:hAnsi="Arial" w:cs="Arial"/>
          <w:sz w:val="24"/>
          <w:szCs w:val="24"/>
        </w:rPr>
        <w:t xml:space="preserve">września </w:t>
      </w:r>
      <w:r w:rsidRPr="003E3820">
        <w:rPr>
          <w:rFonts w:ascii="Arial" w:hAnsi="Arial" w:cs="Arial"/>
          <w:sz w:val="24"/>
          <w:szCs w:val="24"/>
        </w:rPr>
        <w:t>20</w:t>
      </w:r>
      <w:r w:rsidR="0029606A" w:rsidRPr="003E3820">
        <w:rPr>
          <w:rFonts w:ascii="Arial" w:hAnsi="Arial" w:cs="Arial"/>
          <w:sz w:val="24"/>
          <w:szCs w:val="24"/>
        </w:rPr>
        <w:t>19</w:t>
      </w:r>
      <w:r w:rsidRPr="003E3820">
        <w:rPr>
          <w:rFonts w:ascii="Arial" w:hAnsi="Arial" w:cs="Arial"/>
          <w:sz w:val="24"/>
          <w:szCs w:val="24"/>
        </w:rPr>
        <w:t xml:space="preserve"> r</w:t>
      </w:r>
      <w:r w:rsidR="0029606A" w:rsidRPr="003E3820">
        <w:rPr>
          <w:rFonts w:ascii="Arial" w:hAnsi="Arial" w:cs="Arial"/>
          <w:sz w:val="24"/>
          <w:szCs w:val="24"/>
        </w:rPr>
        <w:t>.</w:t>
      </w:r>
      <w:r w:rsidRPr="003E3820">
        <w:rPr>
          <w:rFonts w:ascii="Arial" w:hAnsi="Arial" w:cs="Arial"/>
          <w:sz w:val="24"/>
          <w:szCs w:val="24"/>
        </w:rPr>
        <w:t xml:space="preserve"> Prawo </w:t>
      </w:r>
      <w:r w:rsidR="0029606A" w:rsidRPr="003E3820">
        <w:rPr>
          <w:rFonts w:ascii="Arial" w:hAnsi="Arial" w:cs="Arial"/>
          <w:sz w:val="24"/>
          <w:szCs w:val="24"/>
        </w:rPr>
        <w:t>z</w:t>
      </w:r>
      <w:r w:rsidRPr="003E3820">
        <w:rPr>
          <w:rFonts w:ascii="Arial" w:hAnsi="Arial" w:cs="Arial"/>
          <w:sz w:val="24"/>
          <w:szCs w:val="24"/>
        </w:rPr>
        <w:t xml:space="preserve">amówień </w:t>
      </w:r>
      <w:r w:rsidR="0029606A" w:rsidRPr="003E3820">
        <w:rPr>
          <w:rFonts w:ascii="Arial" w:hAnsi="Arial" w:cs="Arial"/>
          <w:sz w:val="24"/>
          <w:szCs w:val="24"/>
        </w:rPr>
        <w:t>p</w:t>
      </w:r>
      <w:r w:rsidRPr="003E3820">
        <w:rPr>
          <w:rFonts w:ascii="Arial" w:hAnsi="Arial" w:cs="Arial"/>
          <w:sz w:val="24"/>
          <w:szCs w:val="24"/>
        </w:rPr>
        <w:t xml:space="preserve">ublicznych </w:t>
      </w:r>
      <w:r w:rsidR="00447C8D" w:rsidRPr="003E3820">
        <w:rPr>
          <w:rFonts w:ascii="Arial" w:hAnsi="Arial" w:cs="Arial"/>
          <w:sz w:val="24"/>
          <w:szCs w:val="24"/>
        </w:rPr>
        <w:t>(</w:t>
      </w:r>
      <w:proofErr w:type="spellStart"/>
      <w:r w:rsidR="00447C8D" w:rsidRPr="003E3820">
        <w:rPr>
          <w:rFonts w:ascii="Arial" w:hAnsi="Arial" w:cs="Arial"/>
          <w:sz w:val="24"/>
          <w:szCs w:val="24"/>
        </w:rPr>
        <w:t>t.j</w:t>
      </w:r>
      <w:proofErr w:type="spellEnd"/>
      <w:r w:rsidR="00447C8D" w:rsidRPr="003E3820">
        <w:rPr>
          <w:rFonts w:ascii="Arial" w:hAnsi="Arial" w:cs="Arial"/>
          <w:sz w:val="24"/>
          <w:szCs w:val="24"/>
        </w:rPr>
        <w:t>. Dz. U. z 2024 poz. 1320)</w:t>
      </w:r>
      <w:r w:rsidR="00BE7BFD" w:rsidRPr="003E3820">
        <w:rPr>
          <w:rFonts w:ascii="Arial" w:hAnsi="Arial" w:cs="Arial"/>
          <w:sz w:val="24"/>
          <w:szCs w:val="24"/>
        </w:rPr>
        <w:t xml:space="preserve">, </w:t>
      </w:r>
      <w:r w:rsidR="00E74BC3" w:rsidRPr="003E3820">
        <w:rPr>
          <w:rFonts w:ascii="Arial" w:hAnsi="Arial" w:cs="Arial"/>
          <w:sz w:val="24"/>
          <w:szCs w:val="24"/>
        </w:rPr>
        <w:t>udostępnia</w:t>
      </w:r>
      <w:r w:rsidR="00BE7BFD" w:rsidRPr="003E3820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3E3820">
        <w:rPr>
          <w:rFonts w:ascii="Arial" w:hAnsi="Arial" w:cs="Arial"/>
          <w:sz w:val="24"/>
          <w:szCs w:val="24"/>
        </w:rPr>
        <w:t>pecyfikacji Warunków Zamówienia (</w:t>
      </w:r>
      <w:r w:rsidR="0012774F" w:rsidRPr="003E3820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E3820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E3820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3E3820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3E3820">
        <w:rPr>
          <w:rFonts w:ascii="Arial" w:hAnsi="Arial" w:cs="Arial"/>
          <w:sz w:val="24"/>
          <w:szCs w:val="24"/>
        </w:rPr>
        <w:t>wraz z wyjaśnieniami</w:t>
      </w:r>
      <w:r w:rsidR="0012774F" w:rsidRPr="003E3820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9866"/>
      </w:tblGrid>
      <w:tr w:rsidR="00447C8D" w:rsidRPr="003E3820" w14:paraId="2EADA50F" w14:textId="77777777" w:rsidTr="003E3820">
        <w:tc>
          <w:tcPr>
            <w:tcW w:w="9640" w:type="dxa"/>
            <w:shd w:val="clear" w:color="auto" w:fill="auto"/>
          </w:tcPr>
          <w:p w14:paraId="671D527D" w14:textId="77777777" w:rsidR="00447C8D" w:rsidRPr="003E3820" w:rsidRDefault="00447C8D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5917A68" w14:textId="77777777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 xml:space="preserve">1. Czy Zamawiający obniży łączny maksymalny limit kar umownych do poziomu w granicach pomiędzy 10 a 30%? Zamawiający, ustalając górny limit kar umownych winien mieć na uwadze, że wysokość kary umownej nie powinna prowadzić do nieuzasadnionego wzbogacenia Zamawiającego czy naruszenia zasady proporcjonalności, określonej w art. 16 ustawy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</w:rPr>
              <w:t>. Limit kar na poziomie 10-30% jest standardem rynkowym stosowanym w praktyce udzielania zamówień publicznych, a zasadność ustalenia limitu kar na takim poziomie potwierdza stanowisko Krajowej Izby odwoławczej w wyroku KIO 2327/23. Odpowiedź: Zgodnie ze wzorem umowy.</w:t>
            </w:r>
          </w:p>
          <w:p w14:paraId="269EC8BA" w14:textId="77777777" w:rsidR="008B15BC" w:rsidRDefault="008B15BC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11C8F7" w14:textId="0BADD3B0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>2. Czy w celu umiarkowania kar umownych Zamawiający dokona modyfikacji postanowień projektu przyszłej umowy w zakresie zapisów § 10:</w:t>
            </w:r>
          </w:p>
          <w:p w14:paraId="5A5775C2" w14:textId="77777777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 xml:space="preserve">1.Jeżeli Wykonawca nie przystąpi lub przerwie wykonywanie przedmiotu Umowy z przyczyn leżących po stronie Wykonawcy oraz w przypadku rozwiązania umowy zgodnie z § 11 ust. 3 Wykonawca zapłaci Zamawiającemu karę umowną w wysokości: </w:t>
            </w:r>
          </w:p>
          <w:p w14:paraId="684D7EFF" w14:textId="77777777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 xml:space="preserve">1) </w:t>
            </w:r>
            <w:r w:rsidRPr="003E382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10%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wartości </w:t>
            </w:r>
            <w:r w:rsidRPr="003E382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niezrealizowanej części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Umowy brutto określonej w §5 ust. 1 niniejszej Umowy. [dotyczy przedmiotu umowy zawierającego tylko jedna pozycję] </w:t>
            </w:r>
          </w:p>
          <w:p w14:paraId="000DEF95" w14:textId="77777777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 xml:space="preserve">2) </w:t>
            </w:r>
            <w:r w:rsidRPr="003E382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10%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wartości </w:t>
            </w:r>
            <w:r w:rsidRPr="003E382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niezrealizowanych</w:t>
            </w: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3E3820">
              <w:rPr>
                <w:rFonts w:ascii="Arial" w:hAnsi="Arial" w:cs="Arial"/>
                <w:sz w:val="24"/>
                <w:szCs w:val="24"/>
              </w:rPr>
              <w:t>pozycji brutto, określonej według Formularza ofertowego [Załącznik nr 2], od której to pozycji Wykonawca odstąpił lub rozwiązał Umowę. [dotyczy przedmiotu umowy zawierającego dwie lub więcej pozycji] Odpowiedź: Zgodnie ze wzorem umowy.</w:t>
            </w:r>
          </w:p>
          <w:p w14:paraId="45B42D38" w14:textId="77777777" w:rsidR="008B15BC" w:rsidRDefault="008B15BC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ACCCAB" w14:textId="34874D7B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 xml:space="preserve">3. Za zwłokę w wykonaniu planowanego przeglądu okresowego, o ile nie nastąpiło ono z winy Zamawiającego, Wykonawca zapłaci kary umowne w wysokości 0,3 % wartości brutto Sprzętu, </w:t>
            </w:r>
            <w:r w:rsidRPr="003E382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którego dotyczy niewykonany przegląd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, określonej w Formularzu ofertowym [Załącznik nr 2] za każdy rozpoczęty dzień zwłoki powyżej 1 [jednego] roku od daty </w:t>
            </w:r>
            <w:r w:rsidRPr="003E3820">
              <w:rPr>
                <w:rFonts w:ascii="Arial" w:hAnsi="Arial" w:cs="Arial"/>
                <w:sz w:val="24"/>
                <w:szCs w:val="24"/>
              </w:rPr>
              <w:lastRenderedPageBreak/>
              <w:t>instalacji lub poprzedniego przeglądu. Odpowiedź: Zgodnie ze wzorem umowy.</w:t>
            </w:r>
          </w:p>
          <w:p w14:paraId="692BD4B6" w14:textId="77777777" w:rsidR="008B15BC" w:rsidRDefault="008B15BC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349609" w14:textId="2C378666" w:rsid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 xml:space="preserve">6. Za niewywiązanie się z obowiązków określonych w Umowie wynikających z §3 ust. 6-9 lub w §7 ust. 11, 12, 17 i 18, Wykonawca zapłaci karę umowną w wysokości </w:t>
            </w:r>
            <w:r w:rsidRPr="003E382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0,5 % </w:t>
            </w:r>
            <w:r w:rsidRPr="003E3820">
              <w:rPr>
                <w:rFonts w:ascii="Arial" w:hAnsi="Arial" w:cs="Arial"/>
                <w:sz w:val="24"/>
                <w:szCs w:val="24"/>
              </w:rPr>
              <w:t>wartości Umowy brutto określonej w § 5 ust. 1 niniejszej Umowy za każde uchybienie. Odpowiedź: Zgodnie ze wzorem umowy.</w:t>
            </w:r>
          </w:p>
          <w:p w14:paraId="0E56BA1A" w14:textId="77777777" w:rsidR="008B15BC" w:rsidRPr="003E3820" w:rsidRDefault="008B15BC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6CBD8B" w14:textId="77777777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Hlk200433449"/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>PYTANIA dotyczące SWZ:</w:t>
            </w:r>
          </w:p>
          <w:p w14:paraId="67B07B60" w14:textId="77777777" w:rsidR="003E3820" w:rsidRPr="008B15BC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punktu 10.1, podpunkt 2: </w:t>
            </w:r>
            <w:r w:rsidRPr="003E3820">
              <w:rPr>
                <w:rFonts w:ascii="Arial" w:hAnsi="Arial" w:cs="Arial"/>
                <w:sz w:val="24"/>
                <w:szCs w:val="24"/>
              </w:rPr>
              <w:t>Opisy (materiały informacyjne), katalogi producenta są materiałami reklamowymi tworzonymi dla szerokiego grona odbiorców, a nie konkretnego Zamawiającego, Wobec powyższego nie jest możliwe umieszczenie na nich wszystkich informacji i parametrów, które są wymagane w danym postępowaniu. Czy w przypadku braku potwierdzenia parametru w opisach (materiałach informacyjnych), katalogach producenta, Zamawiający dopuści załączenie oświadczenia autoryzowanego dystrybutora potwierdzające spełnianie opisanego wymagania? Odpowiedź: Zamawiający dopuszcza także.</w:t>
            </w:r>
          </w:p>
          <w:p w14:paraId="7750E478" w14:textId="77777777" w:rsidR="008B15BC" w:rsidRPr="003E3820" w:rsidRDefault="008B15BC" w:rsidP="008B15BC">
            <w:pPr>
              <w:ind w:left="72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879F1B5" w14:textId="77777777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>PYTANIA dotyczące załącznika nr 2a do SWZ (Formularz asortymentowo – cenowy), pakiet 1:</w:t>
            </w:r>
          </w:p>
          <w:p w14:paraId="793A92CE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Pkt 121: </w:t>
            </w:r>
            <w:r w:rsidRPr="003E3820">
              <w:rPr>
                <w:rFonts w:ascii="Arial" w:hAnsi="Arial" w:cs="Arial"/>
                <w:sz w:val="24"/>
                <w:szCs w:val="24"/>
              </w:rPr>
              <w:t>Czy Zamawiający dopuści wysokiej klasy kardiomonitor o przekątnej ekranu 19” i wymaganej rozdzielczości, umożliwiający jednoczesne wyświetlanie do 10 krzywych dynamicznych? Stanowi to niewielkie odstępstwo od wymogu tym bardziej, że jest to liczba w zupełności wystarczająca do prezentacji wymaganych do monitorowania krzywych dynamicznych (3x EKG, 1x SpO2, 2x IBP, 1x EEG). Odpowiedź: Zamawiający dopuszcza także.</w:t>
            </w:r>
          </w:p>
          <w:p w14:paraId="571ED1F6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 punktów 192 – 194: </w:t>
            </w:r>
            <w:r w:rsidRPr="003E3820">
              <w:rPr>
                <w:rFonts w:ascii="Arial" w:hAnsi="Arial" w:cs="Arial"/>
                <w:sz w:val="24"/>
                <w:szCs w:val="24"/>
              </w:rPr>
              <w:t>Mając na uwadze fakt, że pełne monitorowanie gazowe jest realizowane przez moduł gazowy w aparacie do znieczulania – w pełni kompatybilny z oferowanym kardiomonitorem, z możliwością zamiennego stosowania – czy Zamawiający odstąpi od wymogu dodatkowego wyposażania kardiomonitora w pomiar CO2 opisany w punktach od 192. do 194.? Odpowiedź: Zamawiający odstąpi.</w:t>
            </w:r>
          </w:p>
          <w:p w14:paraId="54699E36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Pkt 199: </w:t>
            </w:r>
            <w:r w:rsidRPr="003E3820">
              <w:rPr>
                <w:rFonts w:ascii="Arial" w:hAnsi="Arial" w:cs="Arial"/>
                <w:sz w:val="24"/>
                <w:szCs w:val="24"/>
              </w:rPr>
              <w:t>Prosimy o potwierdzenie, że Zamawiający wymaga dostarczenia modułu pomiaru NMT opisanego w punkcie 199. wraz z czujnikiem pomiarowym oraz niezbędnymi elektrodami do stymulacji – do każdego kardiomonitora. Odpowiedź: Zamawiający wymaga.</w:t>
            </w:r>
          </w:p>
          <w:p w14:paraId="72E76145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Pkt 200: </w:t>
            </w:r>
            <w:r w:rsidRPr="003E3820">
              <w:rPr>
                <w:rFonts w:ascii="Arial" w:hAnsi="Arial" w:cs="Arial"/>
                <w:sz w:val="24"/>
                <w:szCs w:val="24"/>
              </w:rPr>
              <w:t>Prosimy o potwierdzenie, że Zamawiający wymaga, aby każdy kardiomonitor był wyposażony w opisany w punkcie 200. Pomiar głębokości analgezji, wraz z niezbędnymi akcesoriami pomiarowymi. Odpowiedź: Zamawiający wymaga.</w:t>
            </w:r>
          </w:p>
          <w:p w14:paraId="318B843C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Pkt 201: </w:t>
            </w:r>
            <w:r w:rsidRPr="003E3820">
              <w:rPr>
                <w:rFonts w:ascii="Arial" w:hAnsi="Arial" w:cs="Arial"/>
                <w:sz w:val="24"/>
                <w:szCs w:val="24"/>
              </w:rPr>
              <w:t>Prosimy o potwierdzenie, że Zamawiający wymaga dostarczenia opisanego w punkcie 201. Modułu pomiarowego głębokości uśpienia, wraz z niezbędnymi czujnikami pomiarowymi  – do każdego kardiomonitora. Odpowiedź: Zamawiający wymaga do każdego monitora.</w:t>
            </w:r>
          </w:p>
          <w:p w14:paraId="505CC87D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>W  2023 roku ENISA opublikowała raport na temat zagrożeń cybernetycznych dla europejskiego sektora ochrony zdrowia. Z dokumentu wynika, że</w:t>
            </w: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pod względem rodzaju ataków wyraźnie przeważały ataki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</w:rPr>
              <w:t>ransomware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</w:rPr>
              <w:t xml:space="preserve">, które stanowiły 37%, oraz te związane z wypłynięciem danych, stanowiące 32% (źródło: opracowanie własne na podstawie: ENISA, ENISA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</w:rPr>
              <w:t>threat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</w:rPr>
              <w:t>landscape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</w:rPr>
              <w:t>health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</w:rPr>
              <w:t>sector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</w:rPr>
              <w:t xml:space="preserve"> THREAT LANDSCAPE: HEALTH SECTOR, czerwiec 2023). W związku z powyższym, czy Zamawiający w celu zwiększenia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</w:rPr>
              <w:t>cyberbezpieczeństwa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</w:rPr>
              <w:t xml:space="preserve"> urządzeń medycznych będzie wymagał aby </w:t>
            </w:r>
            <w:r w:rsidRPr="003E3820">
              <w:rPr>
                <w:rFonts w:ascii="Arial" w:hAnsi="Arial" w:cs="Arial"/>
                <w:sz w:val="24"/>
                <w:szCs w:val="24"/>
              </w:rPr>
              <w:lastRenderedPageBreak/>
              <w:t>dostarczony sprzęt był zabezpieczony systemowo hasłem lub  fizycznie plombą przed nieautoryzowanym dostępem firm trzecich do gromadzonych danych? Odpowiedź: Zamawiający wymaga zabezpieczenia hasłem.</w:t>
            </w:r>
          </w:p>
          <w:p w14:paraId="12844352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>Dotyczy tabeli „wymagania dodatkowe, pkt 5: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Ze względu na fakt, że technologia wytwarzania oferowanego sprzętu ulega szybkim zmianom i cykle produkcyjne podzespołów są stosunkowo krótkie w celu zastąpienia ich nowymi technologicznie odpowiednikami, zwracamy się z prośbą o skrócenie terminu dostępności części zamiennych do naprawy, serwisu pogwarancyjnego z 10 do 7 lat (dotyczy tylko urządzenia)? Odpowiedź: Zgodnie z SWZ.</w:t>
            </w:r>
          </w:p>
          <w:p w14:paraId="77176772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>Dotyczy tabeli „wymagania dodatkowe, pkt 6: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Czy Zamawiający wyrazi zgodę na wydłużenie czasu reakcji serwisu do 48 godzin w dni robocze? Odpowiedź: Zgodnie z SWZ.</w:t>
            </w:r>
          </w:p>
          <w:p w14:paraId="57E86544" w14:textId="77777777" w:rsid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>Dotyczy tabeli „wymagania dodatkowe, pkt 13: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Ze względu na fakt, że technologia wytwarzania oferowanego sprzętu ulega szybkim zmianom i cykle produkcyjne podzespołów są stosunkowo krótkie w celu zastąpienia ich nowymi technologicznie odpowiednikami, zwracamy się z prośbą o skrócenie terminu dostępności części zamiennych do naprawy, serwisu pogwarancyjnego do 7 lat? Odpowiedź: Zgodnie z SWZ.</w:t>
            </w:r>
          </w:p>
          <w:p w14:paraId="6BE784E3" w14:textId="77777777" w:rsidR="008B15BC" w:rsidRPr="003E3820" w:rsidRDefault="008B15BC" w:rsidP="008B15BC">
            <w:pPr>
              <w:ind w:left="72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bookmarkEnd w:id="0"/>
          <w:p w14:paraId="0981CE6D" w14:textId="77777777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>PYTANIA dotyczące załącznika nr 4 do SWZ (wzór umowy):</w:t>
            </w:r>
          </w:p>
          <w:p w14:paraId="53D8F494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3, ustęp 9: </w:t>
            </w:r>
            <w:r w:rsidRPr="003E3820">
              <w:rPr>
                <w:rFonts w:ascii="Arial" w:hAnsi="Arial" w:cs="Arial"/>
                <w:sz w:val="24"/>
                <w:szCs w:val="24"/>
              </w:rPr>
              <w:t>Ze względu na fakt, że technologia wytwarzania oferowanego sprzętu ulega szybkim zmianom i cykle produkcyjne podzespołów są stosunkowo krótkie w celu zastąpienia ich nowymi technologicznie odpowiednikami, zwracamy się z prośbą o skrócenie terminu dostępności części zamiennych do naprawy, serwisu pogwarancyjnego do 7 lat? Odpowiedź: Zgodnie ze wzorem umowy.</w:t>
            </w:r>
          </w:p>
          <w:p w14:paraId="452BA875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>Dotyczy paragrafu 6, ustęp 1</w:t>
            </w:r>
            <w:r w:rsidRPr="003E3820">
              <w:rPr>
                <w:rFonts w:ascii="Arial" w:hAnsi="Arial" w:cs="Arial"/>
                <w:sz w:val="24"/>
                <w:szCs w:val="24"/>
              </w:rPr>
              <w:t>: Czy Zamawiający wyrazi zgodę, aby płatność została uregulowana w terminie do 45 dni licząc od daty dostarczenia Zamawiającemu poprawnie wystawionej faktury VAT? Odpowiedź: Zgodnie ze wzorem umowy.</w:t>
            </w:r>
          </w:p>
          <w:p w14:paraId="36EA706A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>Dotyczy paragrafu 7, ustęp 4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: W przypadku określonej aparatury medycznej producenci zalecają wykonywanie przeglądów technicznych raz na 2 lata. Wobec powyższego zwracamy się z prośbą o modyfikację w/w ustępu w następujący sposób: </w:t>
            </w:r>
            <w:r w:rsidRPr="003E3820">
              <w:rPr>
                <w:rFonts w:ascii="Arial" w:hAnsi="Arial" w:cs="Arial"/>
                <w:i/>
                <w:iCs/>
                <w:sz w:val="24"/>
                <w:szCs w:val="24"/>
              </w:rPr>
              <w:t>W okresie gwarancji Wykonawca zobowiązany jest przeprowadzić przeglądy okresowe i konserwację Sprzętu zgodnie z zaleceniami producenta oraz naprawy w pełnym zakresie przy użyciu oryginalnych, nowych i nieużywanych podzespołów i części zamiennych w oryginalnych opakowaniach zgodnie ze standardem producenta Sprzętu i instrukcją serwisową.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3820">
              <w:rPr>
                <w:rFonts w:ascii="Arial" w:hAnsi="Arial" w:cs="Arial"/>
                <w:i/>
                <w:iCs/>
                <w:sz w:val="24"/>
                <w:szCs w:val="24"/>
              </w:rPr>
              <w:t>Odpowiedź: Zgodnie ze wzorem umowy.</w:t>
            </w:r>
          </w:p>
          <w:p w14:paraId="5AE7592A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>Dotyczy paragrafu 7, ustęp 5</w:t>
            </w:r>
            <w:r w:rsidRPr="003E3820">
              <w:rPr>
                <w:rFonts w:ascii="Arial" w:hAnsi="Arial" w:cs="Arial"/>
                <w:sz w:val="24"/>
                <w:szCs w:val="24"/>
              </w:rPr>
              <w:t>: Czy Zamawiający wyrazi zgodę na wydłużenie terminu, o którym mowa w ustępie 5 do 5 dni roboczych? Odpowiedź: Zgodnie ze wzorem umowy.</w:t>
            </w:r>
          </w:p>
          <w:p w14:paraId="7854851C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>Dotyczy paragrafu 7, ustęp 6: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3820">
              <w:rPr>
                <w:rFonts w:ascii="Arial" w:hAnsi="Arial" w:cs="Arial"/>
                <w:bCs/>
                <w:sz w:val="24"/>
                <w:szCs w:val="24"/>
              </w:rPr>
              <w:t>Czy Zamawiający wyrazi zgodę na zmianę w/w punktu na: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3820">
              <w:rPr>
                <w:rFonts w:ascii="Arial" w:hAnsi="Arial" w:cs="Arial"/>
                <w:bCs/>
                <w:sz w:val="24"/>
                <w:szCs w:val="24"/>
              </w:rPr>
              <w:t>„w przypadku ujawnienia się wady w okresie gwarancji Wykonawca dostarczy Zamawiającemu, zamiast rzeczy wadliwej, nową rzecz wolną od wad albo dokona istotnych (wartość naprawy przekracza 60% wartości rzeczy) napraw rzeczy objęte gwarancji, termin gwarancji biegnie na nowo od chwili dostarczenia rzeczy wolnej od wad lub zwrócenia rzeczy naprawionej.”?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3820">
              <w:rPr>
                <w:rFonts w:ascii="Arial" w:hAnsi="Arial" w:cs="Arial"/>
                <w:bCs/>
                <w:sz w:val="24"/>
                <w:szCs w:val="24"/>
              </w:rPr>
              <w:t>Odpowiedź: Zgodnie ze wzorem umowy.</w:t>
            </w:r>
          </w:p>
          <w:p w14:paraId="5D836FBE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>Dotyczy paragrafu 7, ustęp 6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: Powszechnie przyjętą praktyką jest, że gwarancja </w:t>
            </w:r>
            <w:r w:rsidRPr="003E3820">
              <w:rPr>
                <w:rFonts w:ascii="Arial" w:hAnsi="Arial" w:cs="Arial"/>
                <w:sz w:val="24"/>
                <w:szCs w:val="24"/>
              </w:rPr>
              <w:lastRenderedPageBreak/>
              <w:t>elementów systemu naprawianych lub wymienionych w trakcie trwania okresu gwarancji kończy się wraz z zakończeniem gwarancji na przedmiot zamówienia. Pozwala to na rzetelną kalkulację oferty przez Wykonawcę, korzystniejszą dla Zamawiającego. Czy w związku z tym Zamawiający zgodzi się na usunięcie wymogu rozpoczęcia biegu gwarancji na nowo od momentu dokonania istotnych napraw rzeczy objętej gwarancją? Odpowiedź: Zgodnie ze wzorem umowy.</w:t>
            </w:r>
          </w:p>
          <w:p w14:paraId="1662AD82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7, ustęp 7: 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Z uwagi na specyfikę urządzeń medycznych, czynności serwisowe zapewne będą dokonywane, co wynika z normalnej eksploatacji tego typu urządzeń. W naszej ocenie przedłużenie okresu gwarancji powinno nastąpić nie o czas napraw, które zapewne nastąpią, ale o czas przedłużającej się naprawy, ponad terminy określone w umowie. Wykonawca wnosi o wyjaśnienie czy Zamawiający wyraża zgodę na zmianę treści w/w punktu, poprzez nadanie mu następującej postaci: </w:t>
            </w:r>
          </w:p>
          <w:p w14:paraId="62A713C4" w14:textId="77777777" w:rsidR="003E3820" w:rsidRPr="003E3820" w:rsidRDefault="003E3820" w:rsidP="008B15BC">
            <w:pPr>
              <w:ind w:left="739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3E3820">
              <w:rPr>
                <w:rFonts w:ascii="Arial" w:hAnsi="Arial" w:cs="Arial"/>
                <w:i/>
                <w:sz w:val="24"/>
                <w:szCs w:val="24"/>
              </w:rPr>
              <w:t>„Każda naprawa gwarancyjna wydłużająca się ponad terminy określone w umowie powoduje przedłużenie okresu gwarancji o liczbę dni wyłączenia sprzętu z eksploatacji.”?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3820">
              <w:rPr>
                <w:rFonts w:ascii="Arial" w:hAnsi="Arial" w:cs="Arial"/>
                <w:i/>
                <w:sz w:val="24"/>
                <w:szCs w:val="24"/>
              </w:rPr>
              <w:t>Odpowiedź: Zgodnie ze wzorem umowy.</w:t>
            </w:r>
          </w:p>
          <w:p w14:paraId="3EAE213E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7, ustęp 8: </w:t>
            </w:r>
            <w:r w:rsidRPr="003E3820">
              <w:rPr>
                <w:rFonts w:ascii="Arial" w:hAnsi="Arial" w:cs="Arial"/>
                <w:sz w:val="24"/>
                <w:szCs w:val="24"/>
              </w:rPr>
              <w:t>Czy Zamawiający wyrazi zgodę na wydłużenie terminu, o którym mowa w ustępie 8 do 5 dni roboczych? Odpowiedź: Zgodnie ze wzorem umowy.</w:t>
            </w:r>
          </w:p>
          <w:p w14:paraId="393E1599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7, ustęp 9: </w:t>
            </w:r>
            <w:r w:rsidRPr="003E3820">
              <w:rPr>
                <w:rFonts w:ascii="Arial" w:hAnsi="Arial" w:cs="Arial"/>
                <w:sz w:val="24"/>
                <w:szCs w:val="24"/>
              </w:rPr>
              <w:t>Zwracamy się z prośbą o ujednolicenie zapisów zgodnie z tabelą „wymagania dodatkowe” w załączniku nr 2a i zmianę zapisu ustępu 9 na następujący: „Wybór sposobu usunięcia wady należy do Wykonawcy, który może naprawić Sprzęt lub wymienić cały uszkodzony element lub wymienić cały Sprzęt na nowy. Termin usunięcia wady Strony ustalają na max. 5 [pięć] dni roboczych licząc od daty powiadomienia Wykonawcy przez Zamawiającego o wadzie, a w przypadku konieczności sprowadzenia części z zagranicy do 14 [czternastu] dni roboczych. Naprawa gwarancyjna lub wymiana gwarancyjna uszkodzonej części Sprzętu w okresie gwarancji następuje w ramach wynagrodzenia umownego. Wykonawca zobowiązany jest również w ramach gwarancji do odbioru Sprzętu z siedziby Zamawiającego, jeżeli wada powinna być usunięta w innym miejscu, niż siedziba Zamawiającego.” Odpowiedź: Zgodnie ze wzorem umowy.</w:t>
            </w:r>
          </w:p>
          <w:p w14:paraId="1DCF72C3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7, ustęp 15: 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Mając na względzie fakt, iż rękojmia jest instytucją niedostosowaną do specyfiki urządzeń medycznych i w związku z tym standardem staje się ograniczanie lub wyłączanie rękojmi w zamian za udzielenie Zamawiającym gwarancji trwającej co najmniej tyle, ile okres rękojmi, na lepszych i dogodniejszych dla Zamawiających warunkach wykonywania uprawnień z gwarancji, proponujemy dodanie zdania  i wskazanie, że uprawnienia do odstąpienia  od umowy w ramach realizacji uprawnień z tytułu rękojmi zostaje wyłączone: </w:t>
            </w:r>
            <w:r w:rsidRPr="003E382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,,(…) Strony zgodne wyłączają prawo do odstąpienia od umowy w oparciu o przepisy Kodeksu cywilnego dotyczące rękojmi”. 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Wykonawca wskazuje, że Zamawiającemu przysługują szerokie uprawnienia gwarancyjnych na zasadach określonych umową, gwarantujące zapewnienie Zamawiającego należytej opieki serwisowej w przypadku wystąpienia awarii sprzętu, a wręcz zapewnia naprawę wszelkich usterek i nieprawidłowości w działaniu sprzętu na dogodnych dla Zamawiającego warunkach.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Możliwość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jednoczesnej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realizacji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uprawnień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z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tytułu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rękojmi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wiąże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się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z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ryzykiem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możliwości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odstąpienia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od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umowy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przez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Zamawiającego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, co jest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rozwiązaniem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niecelowym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przede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wszystkim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z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punktu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widzenia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Zamawiającego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zapewnienia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ciągłości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należytej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pracy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szpitala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. W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związku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z 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tym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, w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ocenie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Wykonawcy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zasadne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jest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wyłączenie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prawa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do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odstąpienia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na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podstawie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rękojmi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które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stanowi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dodatkowe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ryzyko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dla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Wykonawcy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rezygnacja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z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którego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dla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Zamawiającego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nie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będzie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stanowiła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istotnego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zmniejszenia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jego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praw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wynikających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 xml:space="preserve"> z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Umowy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Odpowiedź: Zgodnie ze wzorem umowy.</w:t>
            </w:r>
          </w:p>
          <w:p w14:paraId="544E5A95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7, ustęp 16: </w:t>
            </w:r>
            <w:r w:rsidRPr="003E3820">
              <w:rPr>
                <w:rFonts w:ascii="Arial" w:hAnsi="Arial" w:cs="Arial"/>
                <w:sz w:val="24"/>
                <w:szCs w:val="24"/>
              </w:rPr>
              <w:t>Ze względu na fakt, że technologia wytwarzania oferowanego sprzętu ulega szybkim zmianom i cykle produkcyjne podzespołów są stosunkowo krótkie w celu zastąpienia ich nowymi technologicznie odpowiednikami, zwracamy się z prośbą o skrócenie terminu dostępności części zamiennych do naprawy, serwisu pogwarancyjnego do 7 lat? Odpowiedź: Zgodnie ze wzorem umowy.</w:t>
            </w:r>
          </w:p>
          <w:p w14:paraId="5CF5E1B1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7, ustęp 17: </w:t>
            </w:r>
            <w:r w:rsidRPr="003E3820">
              <w:rPr>
                <w:rFonts w:ascii="Arial" w:hAnsi="Arial" w:cs="Arial"/>
                <w:sz w:val="24"/>
                <w:szCs w:val="24"/>
              </w:rPr>
              <w:t>Czy Zamawiający wyrazi zgodę na skrócenie okresu, o którym mowa w ustępie 16 do 7 lat? Odpowiedź: Zgodnie ze wzorem umowy.</w:t>
            </w:r>
          </w:p>
          <w:p w14:paraId="5FE01BCA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10, ustęp 1, podpunkt 1) i 2): </w:t>
            </w:r>
            <w:r w:rsidRPr="003E3820">
              <w:rPr>
                <w:rFonts w:ascii="Arial" w:hAnsi="Arial" w:cs="Arial"/>
                <w:sz w:val="24"/>
                <w:szCs w:val="24"/>
              </w:rPr>
              <w:t>Czy Zamawiający wyrazi zgodę na obniżenie wysokości kary umownej, o której mowa w podpunkcie 1) i 2) do 10%?Odpowiedź: Zgodnie ze wzorem umowy.</w:t>
            </w:r>
          </w:p>
          <w:p w14:paraId="33970214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10, ustęp 2 i 3: </w:t>
            </w:r>
            <w:r w:rsidRPr="003E3820">
              <w:rPr>
                <w:rFonts w:ascii="Arial" w:hAnsi="Arial" w:cs="Arial"/>
                <w:sz w:val="24"/>
                <w:szCs w:val="24"/>
              </w:rPr>
              <w:t>W naszej ocenie zaproponowane kary umowne są zbyt wysokie. Na rynku wyrobów medycznych przyjęło się, iż wysokość kary to 0,1-0,2% za dzień zwłoki w wykonaniu zamówienia/wykonaniu napraw gwarancyjnych. W związku z tym, prosimy o obniżenie kary umownej do przyjętego w branży poziomu? Odpowiedź: Zgodnie ze wzorem umowy.</w:t>
            </w:r>
          </w:p>
          <w:p w14:paraId="4337901C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10, ustęp 6: </w:t>
            </w:r>
            <w:r w:rsidRPr="003E3820">
              <w:rPr>
                <w:rFonts w:ascii="Arial" w:hAnsi="Arial" w:cs="Arial"/>
                <w:sz w:val="24"/>
                <w:szCs w:val="24"/>
              </w:rPr>
              <w:t>Czy Zamawiający wyrazi zgodę na obniżenie wysokości kary umownej, o której mowa w ustępie 6 do 0,5% wartości umowy brutto? Odpowiedź: Zgodnie ze wzorem umowy.</w:t>
            </w:r>
          </w:p>
          <w:p w14:paraId="45A049A7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10, ustęp 7, podpunkt 1) i 2): </w:t>
            </w:r>
            <w:r w:rsidRPr="003E3820">
              <w:rPr>
                <w:rFonts w:ascii="Arial" w:hAnsi="Arial" w:cs="Arial"/>
                <w:sz w:val="24"/>
                <w:szCs w:val="24"/>
              </w:rPr>
              <w:t>Czy Zamawiający wyrazi zgodę na obniżenie wysokości kary umownej, o której mowa w podpunkcie 1) i 2) do 10%?Odpowiedź: Zgodnie ze wzorem umowy.</w:t>
            </w:r>
          </w:p>
          <w:p w14:paraId="31367073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10, ustęp 8: 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Czy Zamawiający wyrazi zgodę na to, aby łączna wysokość kar umownych wynikających z niniejszej umowy nie mogła przekroczyć 20% ogólnej wartości umowy brutto określonej w paragrafie 5, ustęp 1? </w:t>
            </w:r>
            <w:r w:rsidRPr="003E3820">
              <w:rPr>
                <w:rFonts w:ascii="Arial" w:hAnsi="Arial" w:cs="Arial"/>
                <w:i/>
                <w:iCs/>
                <w:sz w:val="24"/>
                <w:szCs w:val="24"/>
              </w:rPr>
              <w:t>Określenie górnego limitu naliczenia kary umownej na tak wysokim poziomie w praktyce może powodować, iż jej celem nie będzie zagwarantowanie Zamawiającemu sprawiedliwej rekompensaty, czy zdyscyplinowanie wykonawcy, ale umożliwienie Zamawiającemu wzbogacenie się, co jest sprzeczne z naturą kary umownej, szczególnie, że Zamawiający zastrzegł w umowie możliwość dochodzenia na zasadach ogólnych odszkodowania przewyższającego wysokość kar umownych. Dodatkowo wskazujemy, iż celem art. 436 pkt 3) Ustawy z dnia 11 września 2019 r. Prawo zamówień publicznych (Dz.U. z 2019, poz. 2019) i wprowadzenie obowiązku przewidywania łącznej maksymalnej wysokości kar umownych, których mogą dochodzić Strony, było właśnie uniknięcie sytuacji naliczania kar rażąco wygórowanych. Zastosowanie kary na poziomie przewidzianym we wzorze Umowy jest sprzeczne z celem i istotą tego postępowania. W związku z powyższym proponujemy obniżenie górnego limitu naliczenia kary umownej maksymalnie do wysokości 20% wynagrodzenia netto Wykonawcy określonego umową.</w:t>
            </w:r>
            <w:r w:rsidRPr="003E38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3820">
              <w:rPr>
                <w:rFonts w:ascii="Arial" w:hAnsi="Arial" w:cs="Arial"/>
                <w:i/>
                <w:iCs/>
                <w:sz w:val="24"/>
                <w:szCs w:val="24"/>
              </w:rPr>
              <w:t>Odpowiedź: Zgodnie ze wzorem umowy.</w:t>
            </w:r>
          </w:p>
          <w:p w14:paraId="1084AB05" w14:textId="77777777" w:rsidR="003E3820" w:rsidRP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Dotyczy paragrafu 10, ustęp 12: </w:t>
            </w:r>
            <w:r w:rsidRPr="003E3820">
              <w:rPr>
                <w:rFonts w:ascii="Arial" w:hAnsi="Arial" w:cs="Arial"/>
                <w:sz w:val="24"/>
                <w:szCs w:val="24"/>
              </w:rPr>
              <w:t>Prosimy o usunięcie postanowienia uprawniającego Zamawiającego do potrącania kar umownych z wynagrodzeniem wykonawcy. Postanowienie takie narusza zasadę równowagi stron i proporcjonalności. Odpowiedź: Zgodnie ze wzorem umowy.</w:t>
            </w:r>
          </w:p>
          <w:p w14:paraId="4CA19DFB" w14:textId="0492AA74" w:rsidR="003E3820" w:rsidRDefault="003E3820" w:rsidP="003E382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 xml:space="preserve">Czy Zamawiający wyraża zgodę na zawarcie umowy powierzenia przetwarzania danych w przypadku konieczności powierzenia danych osobowych dla celów </w:t>
            </w:r>
            <w:r w:rsidRPr="003E3820">
              <w:rPr>
                <w:rFonts w:ascii="Arial" w:hAnsi="Arial" w:cs="Arial"/>
                <w:sz w:val="24"/>
                <w:szCs w:val="24"/>
              </w:rPr>
              <w:lastRenderedPageBreak/>
              <w:t>realizacji Umowy na wzorze przedstawionym przez Wykonawcę lub innym ustalonym przez Strony</w:t>
            </w:r>
            <w:r w:rsidR="00EF1A7F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3E3820">
              <w:rPr>
                <w:rFonts w:ascii="Arial" w:hAnsi="Arial" w:cs="Arial"/>
                <w:sz w:val="24"/>
                <w:szCs w:val="24"/>
              </w:rPr>
              <w:t>Odpowiedź: Zgodnie ze wzorem umowy.</w:t>
            </w:r>
          </w:p>
          <w:p w14:paraId="1E75559E" w14:textId="77777777" w:rsidR="00EF1A7F" w:rsidRPr="003E3820" w:rsidRDefault="00EF1A7F" w:rsidP="00EF1A7F">
            <w:pPr>
              <w:ind w:left="72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3684BE" w14:textId="77777777" w:rsidR="003E3820" w:rsidRPr="003E3820" w:rsidRDefault="003E3820" w:rsidP="003E3820">
            <w:pPr>
              <w:numPr>
                <w:ilvl w:val="0"/>
                <w:numId w:val="9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>Zadanie nr 2: Dot. par. 6 ust. 1 wzoru umowy – Czy Zamawiający wyraża zgodę na 30 dniowy termin płatności? Odpowiedź: Zgodnie ze wzorem umowy.</w:t>
            </w:r>
          </w:p>
          <w:p w14:paraId="198F4FB5" w14:textId="77777777" w:rsidR="003E3820" w:rsidRPr="003E3820" w:rsidRDefault="003E3820" w:rsidP="003E3820">
            <w:pPr>
              <w:numPr>
                <w:ilvl w:val="0"/>
                <w:numId w:val="9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>Zadanie nr 2: Dot. par. 10 ust. 8 wzoru umowy - Czy Zamawiający wyraża zgodę, aby łączna wysokość kar umownych wynikających z umowy, do których zapłaty zobowiązany będzie Wykonawca nie mogła przekroczyć 20% ogólnej wartości Umowy brutto określonej w §5 ust. 1? Odpowiedź: Zgodnie ze wzorem umowy.</w:t>
            </w:r>
          </w:p>
          <w:p w14:paraId="29F18EC6" w14:textId="77777777" w:rsidR="003E3820" w:rsidRPr="003E3820" w:rsidRDefault="003E3820" w:rsidP="003E3820">
            <w:pPr>
              <w:numPr>
                <w:ilvl w:val="0"/>
                <w:numId w:val="9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200433492"/>
            <w:r w:rsidRPr="003E3820">
              <w:rPr>
                <w:rFonts w:ascii="Arial" w:hAnsi="Arial" w:cs="Arial"/>
                <w:sz w:val="24"/>
                <w:szCs w:val="24"/>
              </w:rPr>
              <w:t>Zadanie nr 2: Dot. parametru nr 6 (Wymagania dodatkowe) Załącznika nr 2b do SWZ - Czy Zamawiający wyraża zgodę, aby czas reakcji serwisu w okresie gwarancji od chwili zgłoszenia awarii czyli pojawienie się pracownika serwisu w miejscu awarii lub diagnostyka zdalna w dni robocze wynosił max 72 godziny? Odpowiedź: Zgodnie z SWZ.</w:t>
            </w:r>
          </w:p>
          <w:p w14:paraId="32FF085D" w14:textId="77777777" w:rsidR="003E3820" w:rsidRPr="003E3820" w:rsidRDefault="003E3820" w:rsidP="003E3820">
            <w:pPr>
              <w:numPr>
                <w:ilvl w:val="0"/>
                <w:numId w:val="9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 xml:space="preserve">Zadanie nr 2: Dot. parametru nr 1-65 Załącznika nr 2b do SWZ – Czy Zamawiający dopuszcza pompy </w:t>
            </w:r>
            <w:proofErr w:type="spellStart"/>
            <w:r w:rsidRPr="003E3820">
              <w:rPr>
                <w:rFonts w:ascii="Arial" w:hAnsi="Arial" w:cs="Arial"/>
                <w:sz w:val="24"/>
                <w:szCs w:val="24"/>
              </w:rPr>
              <w:t>strzykawkowe</w:t>
            </w:r>
            <w:proofErr w:type="spellEnd"/>
            <w:r w:rsidRPr="003E3820">
              <w:rPr>
                <w:rFonts w:ascii="Arial" w:hAnsi="Arial" w:cs="Arial"/>
                <w:sz w:val="24"/>
                <w:szCs w:val="24"/>
              </w:rPr>
              <w:t xml:space="preserve"> o poniższych parametrach (zamiast parametrów opisanych pod nr 1-65 Załącznika nr 2b do SWZ):</w:t>
            </w:r>
          </w:p>
          <w:p w14:paraId="7CF0A7BB" w14:textId="77777777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9570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0"/>
              <w:gridCol w:w="9030"/>
            </w:tblGrid>
            <w:tr w:rsidR="003E3820" w:rsidRPr="003E3820" w14:paraId="053218B5" w14:textId="77777777" w:rsidTr="00EF1A7F">
              <w:trPr>
                <w:cantSplit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375FA9DE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C048A14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Stosowanie strzykawek </w:t>
                  </w: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2</w:t>
                  </w: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5, 6, 10, 12, 20, 30, 35, 50 ml. </w:t>
                  </w:r>
                </w:p>
              </w:tc>
            </w:tr>
            <w:tr w:rsidR="003E3820" w:rsidRPr="003E3820" w14:paraId="2AE1CF27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6DEA798B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745C6A0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Strzykawki montowane od czoła.</w:t>
                  </w:r>
                </w:p>
              </w:tc>
            </w:tr>
            <w:tr w:rsidR="003E3820" w:rsidRPr="003E3820" w14:paraId="432B211D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33D4DBA4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7FAFF91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Ramię pompy niewychodzące poza gabaryt obudowy.</w:t>
                  </w:r>
                </w:p>
              </w:tc>
            </w:tr>
            <w:tr w:rsidR="003E3820" w:rsidRPr="003E3820" w14:paraId="010EC48E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68A21B4B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DFDEA35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Klawiatura symboliczna i fizyczna (nie wyświetlana na ekranie) klawiatura alfanumeryczna umożliwiająca szybkie i intuicyjne programowanie infuzji oraz obsługę pompy.</w:t>
                  </w:r>
                </w:p>
              </w:tc>
            </w:tr>
            <w:tr w:rsidR="003E3820" w:rsidRPr="003E3820" w14:paraId="1E7E5175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2E973223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96B252E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Wysokość pompy 11,5 cm </w:t>
                  </w:r>
                </w:p>
              </w:tc>
            </w:tr>
            <w:tr w:rsidR="003E3820" w:rsidRPr="003E3820" w14:paraId="1C884A0E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6F07BB69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6AD970B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Szybkość dozowania w zakresie 0,1-2000 ml/h</w:t>
                  </w:r>
                </w:p>
              </w:tc>
            </w:tr>
            <w:tr w:rsidR="003E3820" w:rsidRPr="003E3820" w14:paraId="2C99FF68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338DB262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E013563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Programowanie parametrów infuzji w jednostkach:</w:t>
                  </w:r>
                </w:p>
                <w:p w14:paraId="6F6A045C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ml, L,</w:t>
                  </w:r>
                </w:p>
                <w:p w14:paraId="51361EC1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ng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μg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, mg, g,</w:t>
                  </w:r>
                </w:p>
                <w:p w14:paraId="2446AA28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μEq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mEq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Eq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,</w:t>
                  </w:r>
                </w:p>
                <w:p w14:paraId="45FA846B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mlU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IU,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kIU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,</w:t>
                  </w:r>
                </w:p>
                <w:p w14:paraId="36B6C614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mIE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IE,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kIE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,</w:t>
                  </w:r>
                </w:p>
                <w:p w14:paraId="1CD9B280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cal, kcal,</w:t>
                  </w:r>
                </w:p>
                <w:p w14:paraId="66A1AC0B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J,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kJ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,</w:t>
                  </w:r>
                </w:p>
                <w:p w14:paraId="63521024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mmol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mol, </w:t>
                  </w:r>
                </w:p>
                <w:p w14:paraId="5E420F5D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z uwzględnieniem wagi pacjenta lub nie,</w:t>
                  </w:r>
                </w:p>
                <w:p w14:paraId="27545E45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z uwzględnieniem powierzchni pacjenta lub nie, </w:t>
                  </w:r>
                </w:p>
                <w:p w14:paraId="6AB13DBA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na min, godz., dobę.</w:t>
                  </w:r>
                </w:p>
              </w:tc>
            </w:tr>
            <w:tr w:rsidR="003E3820" w:rsidRPr="003E3820" w14:paraId="72F8EE1E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2AE815C5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497EA01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Zabezpieczenie przed gwałtowną zmianą szybkości w trakcie trwania infuzji (miareczkowanie).</w:t>
                  </w:r>
                </w:p>
              </w:tc>
            </w:tr>
            <w:tr w:rsidR="003E3820" w:rsidRPr="003E3820" w14:paraId="78B54FFB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52D3F939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90CD128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Tryby dozowania:</w:t>
                  </w:r>
                </w:p>
                <w:p w14:paraId="6BC0B003" w14:textId="77777777" w:rsidR="003E3820" w:rsidRPr="003E3820" w:rsidRDefault="003E3820" w:rsidP="003E3820">
                  <w:pPr>
                    <w:numPr>
                      <w:ilvl w:val="0"/>
                      <w:numId w:val="12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Infuzja ciągła,</w:t>
                  </w:r>
                </w:p>
                <w:p w14:paraId="5A2D640A" w14:textId="77777777" w:rsidR="003E3820" w:rsidRPr="003E3820" w:rsidRDefault="003E3820" w:rsidP="003E3820">
                  <w:pPr>
                    <w:numPr>
                      <w:ilvl w:val="0"/>
                      <w:numId w:val="12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Infuzja bolusowa (z przerwą),</w:t>
                  </w:r>
                </w:p>
                <w:p w14:paraId="1A63C4B4" w14:textId="77777777" w:rsidR="003E3820" w:rsidRPr="003E3820" w:rsidRDefault="003E3820" w:rsidP="003E3820">
                  <w:pPr>
                    <w:numPr>
                      <w:ilvl w:val="0"/>
                      <w:numId w:val="12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Infuzja profilowa (24 kroki infuzji),</w:t>
                  </w:r>
                </w:p>
                <w:p w14:paraId="007DE48B" w14:textId="77777777" w:rsidR="003E3820" w:rsidRPr="003E3820" w:rsidRDefault="003E3820" w:rsidP="003E3820">
                  <w:pPr>
                    <w:numPr>
                      <w:ilvl w:val="0"/>
                      <w:numId w:val="12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Infuzja TPN (narastanie / utrzymanie / opadanie).</w:t>
                  </w:r>
                </w:p>
              </w:tc>
            </w:tr>
            <w:tr w:rsidR="003E3820" w:rsidRPr="003E3820" w14:paraId="4DD61B1B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5ECA45D2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0E5756A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Dokładność infuzji ± 2%</w:t>
                  </w:r>
                </w:p>
              </w:tc>
            </w:tr>
            <w:tr w:rsidR="003E3820" w:rsidRPr="003E3820" w14:paraId="4EB0AC28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29DAAC1C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50964B8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Programowanie parametrów podaży Bolus-a i dawki indukcyjnej:</w:t>
                  </w:r>
                </w:p>
                <w:p w14:paraId="1469C9AD" w14:textId="77777777" w:rsidR="003E3820" w:rsidRPr="003E3820" w:rsidRDefault="003E3820" w:rsidP="003E3820">
                  <w:pPr>
                    <w:numPr>
                      <w:ilvl w:val="0"/>
                      <w:numId w:val="13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objętość / dawka</w:t>
                  </w:r>
                </w:p>
                <w:p w14:paraId="396ABBBA" w14:textId="77777777" w:rsidR="003E3820" w:rsidRPr="003E3820" w:rsidRDefault="003E3820" w:rsidP="003E3820">
                  <w:pPr>
                    <w:numPr>
                      <w:ilvl w:val="0"/>
                      <w:numId w:val="13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czas lub szybkość podaży</w:t>
                  </w:r>
                </w:p>
              </w:tc>
            </w:tr>
            <w:tr w:rsidR="003E3820" w:rsidRPr="003E3820" w14:paraId="42A537DD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6AC94F59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7F5FAD9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Automatyczne zmniejszenie szybkości podaży bolusa, w celu uniknięcia przerwania infuzji na skutek alarmu okluzji.</w:t>
                  </w:r>
                </w:p>
              </w:tc>
            </w:tr>
            <w:tr w:rsidR="003E3820" w:rsidRPr="003E3820" w14:paraId="2DAB475A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575CFBBD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532756D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Możliwość wgrania do pompy biblioteki leków złożonej z procedur dozowania zawierających co najmniej:</w:t>
                  </w:r>
                </w:p>
                <w:p w14:paraId="1BCFA26D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nazwy leku,</w:t>
                  </w:r>
                </w:p>
                <w:p w14:paraId="0797028C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10 koncentracji leku,</w:t>
                  </w:r>
                </w:p>
                <w:p w14:paraId="47496B42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szybkości dozowania (dawkowanie),</w:t>
                  </w:r>
                </w:p>
                <w:p w14:paraId="66A497DE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całkowitej objętości (dawki) infuzji,</w:t>
                  </w:r>
                </w:p>
                <w:p w14:paraId="53631822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parametrów bolusa, oraz dawki indukcyjnej,</w:t>
                  </w:r>
                </w:p>
                <w:p w14:paraId="1BA1AD31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limitów dla wymienionych parametrów infuzji:</w:t>
                  </w:r>
                </w:p>
                <w:p w14:paraId="247DE64D" w14:textId="77777777" w:rsidR="003E3820" w:rsidRPr="003E3820" w:rsidRDefault="003E3820" w:rsidP="003E3820">
                  <w:pPr>
                    <w:numPr>
                      <w:ilvl w:val="1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miękkich, ostrzegających o przekroczeniu zalecanych wartości parametrów, </w:t>
                  </w:r>
                </w:p>
                <w:p w14:paraId="0CF8E5FA" w14:textId="77777777" w:rsidR="003E3820" w:rsidRPr="003E3820" w:rsidRDefault="003E3820" w:rsidP="003E3820">
                  <w:pPr>
                    <w:numPr>
                      <w:ilvl w:val="1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twardych – blokujących możliwość wprowadzenia wartości spoza ich zakresu.</w:t>
                  </w:r>
                </w:p>
                <w:p w14:paraId="439B5EAB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Notatki doradczej możliwej do odczytania przed rozpoczęciem infuzji.</w:t>
                  </w:r>
                </w:p>
                <w:p w14:paraId="3A8B9E76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Podział biblioteki na osobne grupy dedykowane poszczególnym oddziałom szpitalnym, do 40 oddziałów. Wybór oddziału dostępny w pompie.</w:t>
                  </w:r>
                </w:p>
                <w:p w14:paraId="194AF4A1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Podział biblioteki dedykowanej oddziałom na 40 kategorii lekowych.</w:t>
                  </w:r>
                </w:p>
                <w:p w14:paraId="6B977D35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Pojemność biblioteki 5000 procedur dozowania leków.</w:t>
                  </w:r>
                </w:p>
              </w:tc>
            </w:tr>
            <w:tr w:rsidR="003E3820" w:rsidRPr="003E3820" w14:paraId="5A9C842E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1EDD0D28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hideMark/>
                </w:tcPr>
                <w:p w14:paraId="214E799F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Dostępność polskojęzycznego oprogramowania komputerowego do tworzenia i przesyłania do pompy biblioteki leków.</w:t>
                  </w:r>
                </w:p>
              </w:tc>
            </w:tr>
            <w:tr w:rsidR="003E3820" w:rsidRPr="003E3820" w14:paraId="6E963E3B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4187B420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E15FA2F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Ekran infuzji umożliwiający wyświetlenie następujących informacji jednocześnie:</w:t>
                  </w:r>
                </w:p>
                <w:p w14:paraId="7C2B8648" w14:textId="77777777" w:rsidR="003E3820" w:rsidRPr="003E3820" w:rsidRDefault="003E3820" w:rsidP="003E3820">
                  <w:pPr>
                    <w:numPr>
                      <w:ilvl w:val="0"/>
                      <w:numId w:val="15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nazwa leku,</w:t>
                  </w:r>
                </w:p>
                <w:p w14:paraId="2CCB749D" w14:textId="77777777" w:rsidR="003E3820" w:rsidRPr="003E3820" w:rsidRDefault="003E3820" w:rsidP="003E3820">
                  <w:pPr>
                    <w:numPr>
                      <w:ilvl w:val="0"/>
                      <w:numId w:val="15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koncentracja leku,</w:t>
                  </w:r>
                </w:p>
                <w:p w14:paraId="144579A3" w14:textId="77777777" w:rsidR="003E3820" w:rsidRPr="003E3820" w:rsidRDefault="003E3820" w:rsidP="003E3820">
                  <w:pPr>
                    <w:numPr>
                      <w:ilvl w:val="0"/>
                      <w:numId w:val="15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szybkość infuzji,</w:t>
                  </w:r>
                </w:p>
                <w:p w14:paraId="48582A72" w14:textId="77777777" w:rsidR="003E3820" w:rsidRPr="003E3820" w:rsidRDefault="003E3820" w:rsidP="003E3820">
                  <w:pPr>
                    <w:numPr>
                      <w:ilvl w:val="0"/>
                      <w:numId w:val="15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informacji, że wartość szybkości infuzji mieści się w zalecanym zakresie lub znajduje się w zakresie limitu miękkiego dolnego lub górnego,</w:t>
                  </w:r>
                </w:p>
                <w:p w14:paraId="79613525" w14:textId="77777777" w:rsidR="003E3820" w:rsidRPr="003E3820" w:rsidRDefault="003E3820" w:rsidP="003E3820">
                  <w:pPr>
                    <w:numPr>
                      <w:ilvl w:val="0"/>
                      <w:numId w:val="15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podana dawka,</w:t>
                  </w:r>
                </w:p>
                <w:p w14:paraId="2140D590" w14:textId="77777777" w:rsidR="003E3820" w:rsidRPr="003E3820" w:rsidRDefault="003E3820" w:rsidP="003E3820">
                  <w:pPr>
                    <w:numPr>
                      <w:ilvl w:val="0"/>
                      <w:numId w:val="15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poziom limitów dla szybkości infuzji,</w:t>
                  </w:r>
                </w:p>
                <w:p w14:paraId="4F4DB85F" w14:textId="77777777" w:rsidR="003E3820" w:rsidRPr="003E3820" w:rsidRDefault="003E3820" w:rsidP="003E3820">
                  <w:pPr>
                    <w:numPr>
                      <w:ilvl w:val="0"/>
                      <w:numId w:val="15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czas do końca dawki lub czas do końca strzykawki w formie graficznej,</w:t>
                  </w:r>
                </w:p>
                <w:p w14:paraId="73A70427" w14:textId="77777777" w:rsidR="003E3820" w:rsidRPr="003E3820" w:rsidRDefault="003E3820" w:rsidP="003E3820">
                  <w:pPr>
                    <w:numPr>
                      <w:ilvl w:val="0"/>
                      <w:numId w:val="15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kategorii leku wyodrębnionej kolorem,</w:t>
                  </w:r>
                </w:p>
                <w:p w14:paraId="69573EBB" w14:textId="77777777" w:rsidR="003E3820" w:rsidRPr="003E3820" w:rsidRDefault="003E3820" w:rsidP="003E3820">
                  <w:pPr>
                    <w:numPr>
                      <w:ilvl w:val="0"/>
                      <w:numId w:val="15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stan naładowania akumulatora,</w:t>
                  </w:r>
                </w:p>
                <w:p w14:paraId="530E81CC" w14:textId="77777777" w:rsidR="003E3820" w:rsidRPr="003E3820" w:rsidRDefault="003E3820" w:rsidP="003E3820">
                  <w:pPr>
                    <w:numPr>
                      <w:ilvl w:val="0"/>
                      <w:numId w:val="15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aktualne ciśnienie w linii pacjenta w formie graficznej.</w:t>
                  </w:r>
                </w:p>
              </w:tc>
            </w:tr>
            <w:tr w:rsidR="003E3820" w:rsidRPr="003E3820" w14:paraId="14C59339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14DE5672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0A71461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Kolorowy ekran pompy.</w:t>
                  </w:r>
                </w:p>
              </w:tc>
            </w:tr>
            <w:tr w:rsidR="003E3820" w:rsidRPr="003E3820" w14:paraId="640E1941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7AADBE35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666E28C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Ekran dotykowy, przyspieszający wybór funkcji pompy.</w:t>
                  </w:r>
                </w:p>
              </w:tc>
            </w:tr>
            <w:tr w:rsidR="003E3820" w:rsidRPr="003E3820" w14:paraId="0E101A29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0BEBD152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0C9F02E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Kolorystyczne wyróżnienie ekranu infuzji do żywienia dojelitowego względem innych realizowanych infuzji.</w:t>
                  </w:r>
                </w:p>
              </w:tc>
            </w:tr>
            <w:tr w:rsidR="003E3820" w:rsidRPr="003E3820" w14:paraId="36D6CC41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1AC85DB4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3BF8ED2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Napisy na wyświetlaczu w języku polskim.</w:t>
                  </w:r>
                </w:p>
              </w:tc>
            </w:tr>
            <w:tr w:rsidR="003E3820" w:rsidRPr="003E3820" w14:paraId="620800D0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6966BBC4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53E4C76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Regulowane progi ciśnienia okluzji, 12 poziomów.</w:t>
                  </w:r>
                </w:p>
              </w:tc>
            </w:tr>
            <w:tr w:rsidR="003E3820" w:rsidRPr="003E3820" w14:paraId="2E684A03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6814235F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79DDE5B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Progi ciśnienia regulowane w zakresie 75-900 mmHg.</w:t>
                  </w:r>
                </w:p>
              </w:tc>
            </w:tr>
            <w:tr w:rsidR="003E3820" w:rsidRPr="003E3820" w14:paraId="5EA72403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71EC1FB7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A89AC64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Zmiana progu ciśnienia okluzji bez przerywania infuzji.</w:t>
                  </w:r>
                </w:p>
              </w:tc>
            </w:tr>
            <w:tr w:rsidR="003E3820" w:rsidRPr="003E3820" w14:paraId="35737189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4D1D5CF5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A8402FC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Automatyczna redukcja bolusa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okluzyjnego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</w:tc>
            </w:tr>
            <w:tr w:rsidR="003E3820" w:rsidRPr="003E3820" w14:paraId="27559F4D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28D77581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CC39C71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Priorytetowy system alarmów, zapewniający zróżnicowany sygnał dźwiękowy i świetlny, zależnie od stopnia zagrożenia.</w:t>
                  </w:r>
                </w:p>
              </w:tc>
            </w:tr>
            <w:tr w:rsidR="003E3820" w:rsidRPr="003E3820" w14:paraId="755EC2E2" w14:textId="77777777" w:rsidTr="003E3820">
              <w:trPr>
                <w:cantSplit/>
                <w:trHeight w:val="1153"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1ACD1761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906A5E0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Możliwość instalacji pompy w stacji dokującej:</w:t>
                  </w:r>
                </w:p>
                <w:p w14:paraId="1F1660B6" w14:textId="77777777" w:rsidR="003E3820" w:rsidRPr="003E3820" w:rsidRDefault="003E3820" w:rsidP="003E3820">
                  <w:pPr>
                    <w:numPr>
                      <w:ilvl w:val="0"/>
                      <w:numId w:val="16"/>
                    </w:numPr>
                    <w:ind w:right="-72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Zatrzaskowe mocowanie z automatyczną blokadą, bez konieczności przykręcania.</w:t>
                  </w:r>
                </w:p>
                <w:p w14:paraId="3888F3E5" w14:textId="77777777" w:rsidR="003E3820" w:rsidRPr="003E3820" w:rsidRDefault="003E3820" w:rsidP="003E3820">
                  <w:pPr>
                    <w:numPr>
                      <w:ilvl w:val="0"/>
                      <w:numId w:val="16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Alarm nieprawidłowego mocowania pomp w stacji,</w:t>
                  </w:r>
                </w:p>
                <w:p w14:paraId="7901607E" w14:textId="77777777" w:rsidR="003E3820" w:rsidRPr="003E3820" w:rsidRDefault="003E3820" w:rsidP="003E3820">
                  <w:pPr>
                    <w:numPr>
                      <w:ilvl w:val="0"/>
                      <w:numId w:val="16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Pompy mocowane niezależnie, jedna nad drugą, </w:t>
                  </w:r>
                </w:p>
                <w:p w14:paraId="44DFCCD7" w14:textId="77777777" w:rsidR="003E3820" w:rsidRPr="003E3820" w:rsidRDefault="003E3820" w:rsidP="003E3820">
                  <w:pPr>
                    <w:numPr>
                      <w:ilvl w:val="0"/>
                      <w:numId w:val="16"/>
                    </w:numPr>
                    <w:ind w:right="-72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Automatyczne przyłączenie zasilania ze stacji dokującej,</w:t>
                  </w:r>
                </w:p>
                <w:p w14:paraId="58C232BD" w14:textId="77777777" w:rsidR="003E3820" w:rsidRPr="003E3820" w:rsidRDefault="003E3820" w:rsidP="003E3820">
                  <w:pPr>
                    <w:numPr>
                      <w:ilvl w:val="0"/>
                      <w:numId w:val="16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Automatyczne przyłączenie portu komunikacyjnego ze stacji dokującej wyposażonej w port komunikacyjny </w:t>
                  </w:r>
                </w:p>
                <w:p w14:paraId="2D21664F" w14:textId="77777777" w:rsidR="003E3820" w:rsidRPr="003E3820" w:rsidRDefault="003E3820" w:rsidP="003E3820">
                  <w:pPr>
                    <w:numPr>
                      <w:ilvl w:val="0"/>
                      <w:numId w:val="16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Świetlna sygnalizacja stanu pomp: infuzja, alarm, STOP.</w:t>
                  </w:r>
                </w:p>
              </w:tc>
            </w:tr>
            <w:tr w:rsidR="003E3820" w:rsidRPr="003E3820" w14:paraId="68EAF00E" w14:textId="77777777" w:rsidTr="003E3820">
              <w:trPr>
                <w:cantSplit/>
                <w:trHeight w:val="425"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4F673E4E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6CE06E2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Mocowanie pojedynczej pompy do statywów lub pionowych kolumn niewymagające dołączenia jakichkolwiek części, w szczególności uchwytu mocującego, po bezpośrednim wyjęciu pompy z stacji dokującej.</w:t>
                  </w:r>
                </w:p>
              </w:tc>
            </w:tr>
            <w:tr w:rsidR="003E3820" w:rsidRPr="003E3820" w14:paraId="75494CAD" w14:textId="77777777" w:rsidTr="003E3820">
              <w:trPr>
                <w:cantSplit/>
                <w:trHeight w:val="136"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18082EC4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CF6DB57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Mocowanie pomp w stacji dokującej niewymagające odłączenia jakichkolwiek części, w szczególności uchwytu mocującego, po bezpośrednim zdjęciu pompy ze statywu.</w:t>
                  </w:r>
                </w:p>
              </w:tc>
            </w:tr>
            <w:tr w:rsidR="003E3820" w:rsidRPr="003E3820" w14:paraId="2FC36160" w14:textId="77777777" w:rsidTr="003E3820">
              <w:trPr>
                <w:cantSplit/>
                <w:trHeight w:val="136"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180F9245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86B19A4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Uchwyt do przenoszenia pompy na stałe związany z pompą, niewymagający odłączania przy mocowaniu pomp w stacjach dokujących.</w:t>
                  </w:r>
                </w:p>
              </w:tc>
            </w:tr>
            <w:tr w:rsidR="003E3820" w:rsidRPr="003E3820" w14:paraId="569D3645" w14:textId="77777777" w:rsidTr="003E3820">
              <w:trPr>
                <w:cantSplit/>
                <w:trHeight w:val="694"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757B6D93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B27881B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Możliwość komunikacji pomp umieszczonych w stacjach dokujących wyposażonych w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interface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 LAN z oprogramowaniem zewnętrznym.</w:t>
                  </w:r>
                </w:p>
              </w:tc>
            </w:tr>
            <w:tr w:rsidR="003E3820" w:rsidRPr="003E3820" w14:paraId="2EB9B095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6837D353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B30453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Historia infuzji – możliwość zapamiętania min. 2000 pełnych infuzji.</w:t>
                  </w:r>
                </w:p>
              </w:tc>
            </w:tr>
            <w:tr w:rsidR="003E3820" w:rsidRPr="003E3820" w14:paraId="0E3A4D45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24B80219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3534E0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Klasa ochrony II, typ CF, odporność na defibrylację, ochrona obudowy IP22</w:t>
                  </w:r>
                </w:p>
              </w:tc>
            </w:tr>
            <w:tr w:rsidR="003E3820" w:rsidRPr="003E3820" w14:paraId="33C89A7A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6DB30603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7FA98E7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Zasilanie pomp mocowanych poza stacją dokującą bezpośrednio z sieci energetycznej</w:t>
                  </w:r>
                </w:p>
              </w:tc>
            </w:tr>
            <w:tr w:rsidR="003E3820" w:rsidRPr="003E3820" w14:paraId="6EA540CD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31DB1BE1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C94D3F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Czas pracy z akumulatora do 30 h przy infuzji 5ml/h</w:t>
                  </w:r>
                </w:p>
              </w:tc>
            </w:tr>
            <w:tr w:rsidR="003E3820" w:rsidRPr="003E3820" w14:paraId="26018633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54B3ED49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A2EA41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Czas ładowania akumulatora do 100% po pełnym rozładowaniu – poniżej 5 h</w:t>
                  </w:r>
                </w:p>
              </w:tc>
            </w:tr>
            <w:tr w:rsidR="003E3820" w:rsidRPr="003E3820" w14:paraId="6F1756C1" w14:textId="77777777" w:rsidTr="003E3820">
              <w:trPr>
                <w:cantSplit/>
              </w:trPr>
              <w:tc>
                <w:tcPr>
                  <w:tcW w:w="5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23860A0D" w14:textId="77777777" w:rsidR="003E3820" w:rsidRPr="003E3820" w:rsidRDefault="003E3820" w:rsidP="003E3820">
                  <w:pPr>
                    <w:numPr>
                      <w:ilvl w:val="0"/>
                      <w:numId w:val="10"/>
                    </w:numPr>
                    <w:tabs>
                      <w:tab w:val="left" w:pos="360"/>
                    </w:tabs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902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83C5F0D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Waga 2,27 kg.</w:t>
                  </w:r>
                </w:p>
              </w:tc>
            </w:tr>
          </w:tbl>
          <w:p w14:paraId="6D680C91" w14:textId="77777777" w:rsid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>Odpowiedź: Zgodnie z SWZ.</w:t>
            </w:r>
          </w:p>
          <w:p w14:paraId="24B556FF" w14:textId="77777777" w:rsidR="00EF1A7F" w:rsidRPr="003E3820" w:rsidRDefault="00EF1A7F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BB70A97" w14:textId="77777777" w:rsidR="003E3820" w:rsidRPr="003E3820" w:rsidRDefault="003E3820" w:rsidP="003E3820">
            <w:pPr>
              <w:numPr>
                <w:ilvl w:val="0"/>
                <w:numId w:val="9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>Zadanie nr 2: Dot. parametru nr 66-116 Załącznika nr 2b do SWZ – Czy Zamawiający dopuszcza pompy objętościowe o poniższych parametrach (zamiast parametrów opisanych pod nr 66-116 Załącznika nr 2b do SWZ):</w:t>
            </w:r>
          </w:p>
          <w:tbl>
            <w:tblPr>
              <w:tblW w:w="8947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64"/>
              <w:gridCol w:w="8283"/>
            </w:tblGrid>
            <w:tr w:rsidR="003E3820" w:rsidRPr="003E3820" w14:paraId="6E8E75A0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81E1CB2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63FAA56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Możliwość stosowania zestawów infuzyjnych do podaży:</w:t>
                  </w:r>
                </w:p>
                <w:p w14:paraId="13767EA2" w14:textId="77777777" w:rsidR="003E3820" w:rsidRPr="003E3820" w:rsidRDefault="003E3820" w:rsidP="003E3820">
                  <w:pPr>
                    <w:numPr>
                      <w:ilvl w:val="0"/>
                      <w:numId w:val="18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leków standardowych, płynów infuzyjnych i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cytostatyków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 (zestawy nie zawierające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ftalanów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 (DEHP-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free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) oraz lateksu),</w:t>
                  </w:r>
                </w:p>
                <w:p w14:paraId="43E4DB14" w14:textId="77777777" w:rsidR="003E3820" w:rsidRPr="003E3820" w:rsidRDefault="003E3820" w:rsidP="003E3820">
                  <w:pPr>
                    <w:numPr>
                      <w:ilvl w:val="0"/>
                      <w:numId w:val="18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żywienia pozajelitowego i żywienia dojelitowego,</w:t>
                  </w:r>
                </w:p>
                <w:p w14:paraId="3DB55A05" w14:textId="77777777" w:rsidR="003E3820" w:rsidRPr="003E3820" w:rsidRDefault="003E3820" w:rsidP="003E3820">
                  <w:pPr>
                    <w:numPr>
                      <w:ilvl w:val="0"/>
                      <w:numId w:val="18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leków światłoczułych,</w:t>
                  </w:r>
                </w:p>
                <w:p w14:paraId="714B3DCA" w14:textId="77777777" w:rsidR="003E3820" w:rsidRPr="003E3820" w:rsidRDefault="003E3820" w:rsidP="003E3820">
                  <w:pPr>
                    <w:numPr>
                      <w:ilvl w:val="0"/>
                      <w:numId w:val="18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krwi i preparatów krwiopochodnych.</w:t>
                  </w:r>
                </w:p>
              </w:tc>
            </w:tr>
            <w:tr w:rsidR="003E3820" w:rsidRPr="003E3820" w14:paraId="174B515B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6A437614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3915E051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Klawiatura symboliczna i fizyczna (nie wyświetlana na ekranie) klawiatura alfanumeryczna umożliwiająca szybkie i intuicyjne programowanie infuzji oraz obsługę pompy.</w:t>
                  </w:r>
                </w:p>
              </w:tc>
            </w:tr>
            <w:tr w:rsidR="003E3820" w:rsidRPr="003E3820" w14:paraId="2E295DB1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3F7CBFF0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2FDC36A6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Mechanizm zabezpieczający przed swobodnym przepływem grawitacyjnym składający się z dwóch elementów – jeden w pompie i drugi na zestawie infuzyjnym.</w:t>
                  </w:r>
                </w:p>
              </w:tc>
            </w:tr>
            <w:tr w:rsidR="003E3820" w:rsidRPr="003E3820" w14:paraId="60670B53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03FC0B8C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7753AED5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Możliwość odłączania detektora kropli.</w:t>
                  </w:r>
                </w:p>
              </w:tc>
            </w:tr>
            <w:tr w:rsidR="003E3820" w:rsidRPr="003E3820" w14:paraId="7D401337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6C2A695C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3218D214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Możliwość usunięcia zestawu infuzyjnego z pompy w trybie wyłączonym  z podłączonym i odłączonym zasilaniem zewnętrznym.</w:t>
                  </w:r>
                </w:p>
              </w:tc>
            </w:tr>
            <w:tr w:rsidR="003E3820" w:rsidRPr="003E3820" w14:paraId="5BEF57E2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1E2E2FE6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CF05B66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Wykrywanie powietrza w zestawie infuzyjnym. </w:t>
                  </w:r>
                </w:p>
              </w:tc>
            </w:tr>
            <w:tr w:rsidR="003E3820" w:rsidRPr="003E3820" w14:paraId="4142C7A8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080B4E73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34CD40FC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Kolorowy ekran pompy.</w:t>
                  </w:r>
                </w:p>
              </w:tc>
            </w:tr>
            <w:tr w:rsidR="003E3820" w:rsidRPr="003E3820" w14:paraId="39970BBB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39F25624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20DF8250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Ekran dotykowy pompy, przyspieszający wybór parametrów.</w:t>
                  </w:r>
                </w:p>
              </w:tc>
            </w:tr>
            <w:tr w:rsidR="003E3820" w:rsidRPr="003E3820" w14:paraId="5A286A1F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2A9E883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7B49D2C9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Wszystkie komunikaty w pompie w języku polskim.</w:t>
                  </w:r>
                </w:p>
              </w:tc>
            </w:tr>
            <w:tr w:rsidR="003E3820" w:rsidRPr="003E3820" w14:paraId="2700FE0A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5B7BFFE7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3F151630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Przekątna ekranu 3,2 cala</w:t>
                  </w:r>
                </w:p>
              </w:tc>
            </w:tr>
            <w:tr w:rsidR="003E3820" w:rsidRPr="003E3820" w14:paraId="733FE3A5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6C1E8DDC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B353505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Zakres szybkości dozowania 0,1 – 1200 ml/h.</w:t>
                  </w:r>
                </w:p>
              </w:tc>
            </w:tr>
            <w:tr w:rsidR="003E3820" w:rsidRPr="003E3820" w14:paraId="0BC6A30E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50D2142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13C1C59C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Dokładność infuzji ± 5%.</w:t>
                  </w:r>
                </w:p>
              </w:tc>
            </w:tr>
            <w:tr w:rsidR="003E3820" w:rsidRPr="003E3820" w14:paraId="0375B33C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5E69F819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225FB0C6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Programowanie parametrów infuzji w jednostkach:</w:t>
                  </w:r>
                </w:p>
                <w:p w14:paraId="4C0D5FAA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ml, L,</w:t>
                  </w:r>
                </w:p>
                <w:p w14:paraId="381BDE64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ng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μg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, mg, g,</w:t>
                  </w:r>
                </w:p>
                <w:p w14:paraId="202F6FCE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μEq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mEq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Eq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,</w:t>
                  </w:r>
                </w:p>
                <w:p w14:paraId="56E104A1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mlU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IU,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kIU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,</w:t>
                  </w:r>
                </w:p>
                <w:p w14:paraId="117B89AE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mIE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IE,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kIE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,</w:t>
                  </w:r>
                </w:p>
                <w:p w14:paraId="4B5D8EFC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cal, kcal,</w:t>
                  </w:r>
                </w:p>
                <w:p w14:paraId="5F432AEB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J,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kJ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,</w:t>
                  </w:r>
                </w:p>
                <w:p w14:paraId="2ED25D40" w14:textId="77777777" w:rsidR="003E3820" w:rsidRPr="003E3820" w:rsidRDefault="003E3820" w:rsidP="003E3820">
                  <w:pPr>
                    <w:numPr>
                      <w:ilvl w:val="0"/>
                      <w:numId w:val="1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mmol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, mol, </w:t>
                  </w:r>
                </w:p>
                <w:p w14:paraId="57503EF5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z uwzględnieniem wagi pacjenta lub nie,</w:t>
                  </w:r>
                </w:p>
                <w:p w14:paraId="3C8C2D9F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z uwzględnieniem powierzchni pacjenta lub nie, </w:t>
                  </w:r>
                </w:p>
                <w:p w14:paraId="68BF06D3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na min, godz., dobę.</w:t>
                  </w:r>
                </w:p>
              </w:tc>
            </w:tr>
            <w:tr w:rsidR="003E3820" w:rsidRPr="003E3820" w14:paraId="36608CAC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5569AB75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1E39D37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Tryby dozowania:</w:t>
                  </w:r>
                </w:p>
                <w:p w14:paraId="24132E89" w14:textId="77777777" w:rsidR="003E3820" w:rsidRPr="003E3820" w:rsidRDefault="003E3820" w:rsidP="003E3820">
                  <w:pPr>
                    <w:numPr>
                      <w:ilvl w:val="0"/>
                      <w:numId w:val="19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Infuzja ciągła,</w:t>
                  </w:r>
                </w:p>
                <w:p w14:paraId="0EECF24C" w14:textId="77777777" w:rsidR="003E3820" w:rsidRPr="003E3820" w:rsidRDefault="003E3820" w:rsidP="003E3820">
                  <w:pPr>
                    <w:numPr>
                      <w:ilvl w:val="0"/>
                      <w:numId w:val="19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Infuzja okresowa (bolusowa),</w:t>
                  </w:r>
                </w:p>
                <w:p w14:paraId="33180DC0" w14:textId="77777777" w:rsidR="003E3820" w:rsidRPr="003E3820" w:rsidRDefault="003E3820" w:rsidP="003E3820">
                  <w:pPr>
                    <w:numPr>
                      <w:ilvl w:val="0"/>
                      <w:numId w:val="19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Infuzja profilowa (24 kroki infuzji),</w:t>
                  </w:r>
                </w:p>
                <w:p w14:paraId="3CD444CF" w14:textId="77777777" w:rsidR="003E3820" w:rsidRPr="003E3820" w:rsidRDefault="003E3820" w:rsidP="003E3820">
                  <w:pPr>
                    <w:numPr>
                      <w:ilvl w:val="0"/>
                      <w:numId w:val="19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Infuzja TPN (narastanie / utrzymanie / opadanie).</w:t>
                  </w:r>
                </w:p>
              </w:tc>
            </w:tr>
            <w:tr w:rsidR="003E3820" w:rsidRPr="003E3820" w14:paraId="3267568F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3101634C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1D4B3905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Czytelny, kolorowy wyświetlacz z możliwością wyświetlenia następujących informacji jednocześnie: </w:t>
                  </w:r>
                </w:p>
                <w:p w14:paraId="69D7498F" w14:textId="77777777" w:rsidR="003E3820" w:rsidRPr="003E3820" w:rsidRDefault="003E3820" w:rsidP="003E3820">
                  <w:pPr>
                    <w:numPr>
                      <w:ilvl w:val="0"/>
                      <w:numId w:val="20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nazwa leku,</w:t>
                  </w:r>
                </w:p>
                <w:p w14:paraId="032DDD80" w14:textId="77777777" w:rsidR="003E3820" w:rsidRPr="003E3820" w:rsidRDefault="003E3820" w:rsidP="003E3820">
                  <w:pPr>
                    <w:numPr>
                      <w:ilvl w:val="0"/>
                      <w:numId w:val="20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koncentracja leku,</w:t>
                  </w:r>
                </w:p>
                <w:p w14:paraId="11973638" w14:textId="77777777" w:rsidR="003E3820" w:rsidRPr="003E3820" w:rsidRDefault="003E3820" w:rsidP="003E3820">
                  <w:pPr>
                    <w:numPr>
                      <w:ilvl w:val="0"/>
                      <w:numId w:val="20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szybkość infuzji,</w:t>
                  </w:r>
                </w:p>
                <w:p w14:paraId="7107B718" w14:textId="77777777" w:rsidR="003E3820" w:rsidRPr="003E3820" w:rsidRDefault="003E3820" w:rsidP="003E3820">
                  <w:pPr>
                    <w:numPr>
                      <w:ilvl w:val="0"/>
                      <w:numId w:val="20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informacji, że wartość szybkości infuzji mieści się w zalecanym zakresie lub znajduje się w zakresie limitu miękkiego dolnego lub górnego,</w:t>
                  </w:r>
                </w:p>
                <w:p w14:paraId="5007FFC4" w14:textId="77777777" w:rsidR="003E3820" w:rsidRPr="003E3820" w:rsidRDefault="003E3820" w:rsidP="003E3820">
                  <w:pPr>
                    <w:numPr>
                      <w:ilvl w:val="0"/>
                      <w:numId w:val="20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podana dawka,</w:t>
                  </w:r>
                </w:p>
                <w:p w14:paraId="5DEBD958" w14:textId="77777777" w:rsidR="003E3820" w:rsidRPr="003E3820" w:rsidRDefault="003E3820" w:rsidP="003E3820">
                  <w:pPr>
                    <w:numPr>
                      <w:ilvl w:val="0"/>
                      <w:numId w:val="20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poziom limitów dla szybkości infuzji,</w:t>
                  </w:r>
                </w:p>
                <w:p w14:paraId="3BFDE853" w14:textId="77777777" w:rsidR="003E3820" w:rsidRPr="003E3820" w:rsidRDefault="003E3820" w:rsidP="003E3820">
                  <w:pPr>
                    <w:numPr>
                      <w:ilvl w:val="0"/>
                      <w:numId w:val="20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czas do końca dawki w formie graficznej,</w:t>
                  </w:r>
                </w:p>
                <w:p w14:paraId="16C68C73" w14:textId="77777777" w:rsidR="003E3820" w:rsidRPr="003E3820" w:rsidRDefault="003E3820" w:rsidP="003E3820">
                  <w:pPr>
                    <w:numPr>
                      <w:ilvl w:val="0"/>
                      <w:numId w:val="20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kategorii leku wyodrębnionej kolorem,</w:t>
                  </w:r>
                </w:p>
                <w:p w14:paraId="5A06D884" w14:textId="77777777" w:rsidR="003E3820" w:rsidRPr="003E3820" w:rsidRDefault="003E3820" w:rsidP="003E3820">
                  <w:pPr>
                    <w:numPr>
                      <w:ilvl w:val="0"/>
                      <w:numId w:val="20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stan naładowania akumulatora,</w:t>
                  </w:r>
                </w:p>
                <w:p w14:paraId="53AD1765" w14:textId="77777777" w:rsidR="003E3820" w:rsidRPr="003E3820" w:rsidRDefault="003E3820" w:rsidP="003E3820">
                  <w:pPr>
                    <w:numPr>
                      <w:ilvl w:val="0"/>
                      <w:numId w:val="20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aktualne ciśnienie w linii pacjenta w formie graficznej.</w:t>
                  </w:r>
                </w:p>
              </w:tc>
            </w:tr>
            <w:tr w:rsidR="003E3820" w:rsidRPr="003E3820" w14:paraId="68CC1E9E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41706FC2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117C4E14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Kolorystyczne wyróżnienie ekranu infuzji do żywienia dojelitowego względem innych realizowanych infuzji.</w:t>
                  </w:r>
                </w:p>
              </w:tc>
            </w:tr>
            <w:tr w:rsidR="003E3820" w:rsidRPr="003E3820" w14:paraId="6ABA4F79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9BF8CEE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48E7821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Programowanie parametrów podaży bolusa oraz bolusa wstępnego (dawki indukcyjnej):</w:t>
                  </w:r>
                </w:p>
                <w:p w14:paraId="28A35298" w14:textId="77777777" w:rsidR="003E3820" w:rsidRPr="003E3820" w:rsidRDefault="003E3820" w:rsidP="003E3820">
                  <w:pPr>
                    <w:numPr>
                      <w:ilvl w:val="0"/>
                      <w:numId w:val="2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objętość / dawka,</w:t>
                  </w:r>
                </w:p>
                <w:p w14:paraId="1CA46B6F" w14:textId="77777777" w:rsidR="003E3820" w:rsidRPr="003E3820" w:rsidRDefault="003E3820" w:rsidP="003E3820">
                  <w:pPr>
                    <w:numPr>
                      <w:ilvl w:val="0"/>
                      <w:numId w:val="21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czas lub szybkość podaży.</w:t>
                  </w:r>
                </w:p>
              </w:tc>
            </w:tr>
            <w:tr w:rsidR="003E3820" w:rsidRPr="003E3820" w14:paraId="1C26F3CB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0887C01C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AE19BE8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Bolus manualny. Bolus automatyczny z zaprogramowaną dawką.</w:t>
                  </w:r>
                </w:p>
              </w:tc>
            </w:tr>
            <w:tr w:rsidR="003E3820" w:rsidRPr="003E3820" w14:paraId="5644F740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1D63646D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09106D7D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Automatyczne zmniejszenie szybkości podaży bolusa, w celu uniknięcia przerwania jego podaży alarmem okluzji.</w:t>
                  </w:r>
                </w:p>
              </w:tc>
            </w:tr>
            <w:tr w:rsidR="003E3820" w:rsidRPr="003E3820" w14:paraId="42517F46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2ECE3DD9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39278161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Możliwość wgrania do pompy biblioteki leków złożonej z procedur dozowania zawierających co najmniej:</w:t>
                  </w:r>
                </w:p>
                <w:p w14:paraId="3B9B2E05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nazwy leku,</w:t>
                  </w:r>
                </w:p>
                <w:p w14:paraId="4B41501B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10 koncentracji leku,</w:t>
                  </w:r>
                </w:p>
                <w:p w14:paraId="23AAF0EE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szybkości dozowania (dawkowanie),</w:t>
                  </w:r>
                </w:p>
                <w:p w14:paraId="6FE99B1F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całkowitej objętości (dawki) infuzji,</w:t>
                  </w:r>
                </w:p>
                <w:p w14:paraId="6FF0EB18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parametrów bolusa, oraz dawki indukcyjnej,</w:t>
                  </w:r>
                </w:p>
                <w:p w14:paraId="0877FB39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limitów dla wymienionych parametrów infuzji:</w:t>
                  </w:r>
                </w:p>
                <w:p w14:paraId="7DED64CA" w14:textId="77777777" w:rsidR="003E3820" w:rsidRPr="003E3820" w:rsidRDefault="003E3820" w:rsidP="003E3820">
                  <w:pPr>
                    <w:numPr>
                      <w:ilvl w:val="1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miękkich, ostrzegających o przekroczeniu zalecanych wartości parametrów, </w:t>
                  </w:r>
                </w:p>
                <w:p w14:paraId="1740843C" w14:textId="77777777" w:rsidR="003E3820" w:rsidRPr="003E3820" w:rsidRDefault="003E3820" w:rsidP="003E3820">
                  <w:pPr>
                    <w:numPr>
                      <w:ilvl w:val="1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twardych – blokujących możliwość wprowadzenia wartości spoza ich zakresu.</w:t>
                  </w:r>
                </w:p>
                <w:p w14:paraId="211DA62D" w14:textId="77777777" w:rsidR="003E3820" w:rsidRPr="003E3820" w:rsidRDefault="003E3820" w:rsidP="003E3820">
                  <w:pPr>
                    <w:numPr>
                      <w:ilvl w:val="0"/>
                      <w:numId w:val="14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Notatki doradczej możliwej do odczytania przed rozpoczęciem infuzji.</w:t>
                  </w:r>
                </w:p>
                <w:p w14:paraId="097CBE8E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Podział biblioteki na osobne grupy dedykowane poszczególnym oddziałom szpitalnym, do 40 oddziałów. Wybór oddziału dostępny w pompie.</w:t>
                  </w:r>
                </w:p>
                <w:p w14:paraId="11A6F587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Podział biblioteki dedykowanej oddziałom na 40 kategorii lekowych.</w:t>
                  </w:r>
                </w:p>
                <w:p w14:paraId="4D25E866" w14:textId="77777777" w:rsidR="003E3820" w:rsidRPr="003E3820" w:rsidRDefault="003E3820" w:rsidP="003E3820">
                  <w:pPr>
                    <w:numPr>
                      <w:ilvl w:val="0"/>
                      <w:numId w:val="22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Pojemność biblioteki 5000 procedur dozowania leków.</w:t>
                  </w:r>
                </w:p>
              </w:tc>
            </w:tr>
            <w:tr w:rsidR="003E3820" w:rsidRPr="003E3820" w14:paraId="151B713A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4B8C81B0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8580DEF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Zabezpieczenie przed gwałtowną zmianą szybkości w trakcie trwania infuzji (miareczkowanie).</w:t>
                  </w:r>
                </w:p>
              </w:tc>
            </w:tr>
            <w:tr w:rsidR="003E3820" w:rsidRPr="003E3820" w14:paraId="17A5B2A0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58D38B05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6892D8F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Napisy na wyświetlaczu w języku polskim.</w:t>
                  </w:r>
                </w:p>
              </w:tc>
            </w:tr>
            <w:tr w:rsidR="003E3820" w:rsidRPr="003E3820" w14:paraId="4177BFCE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4AC25846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1CC15F75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Regulowane progi ciśnienia okluzji, 12 poziomów.</w:t>
                  </w:r>
                </w:p>
              </w:tc>
            </w:tr>
            <w:tr w:rsidR="003E3820" w:rsidRPr="003E3820" w14:paraId="7BE080BB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2A06136F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6245BBF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Progi ciśnienia regulowane, w zakresie 75 - 900 mmHg.</w:t>
                  </w:r>
                </w:p>
              </w:tc>
            </w:tr>
            <w:tr w:rsidR="003E3820" w:rsidRPr="003E3820" w14:paraId="6201A045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6EB777AC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0F76F780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Zmiana progu ciśnienia okluzji bez przerywania infuzji.</w:t>
                  </w:r>
                </w:p>
              </w:tc>
            </w:tr>
            <w:tr w:rsidR="003E3820" w:rsidRPr="003E3820" w14:paraId="2E04657B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36E6ECD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E9D9259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Automatyczna redukcja bolusa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okluzyjnego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</w:tc>
            </w:tr>
            <w:tr w:rsidR="003E3820" w:rsidRPr="003E3820" w14:paraId="6C8C3D8C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9B5F0FA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3EAAA18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Priorytetowy system alarmów, zapewniający zróżnicowany sygnał dźwiękowy i świetlny, zależnie od stopnia zagrożenia.</w:t>
                  </w:r>
                </w:p>
              </w:tc>
            </w:tr>
            <w:tr w:rsidR="003E3820" w:rsidRPr="003E3820" w14:paraId="0FA25278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5B22141A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56A072E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Dostępność polskojęzycznego oprogramowania komputerowego do tworzenia i przesyłania do pompy biblioteki leków.</w:t>
                  </w:r>
                </w:p>
              </w:tc>
            </w:tr>
            <w:tr w:rsidR="003E3820" w:rsidRPr="003E3820" w14:paraId="317F1B7C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61428881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07B9E92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Wysokość pompy 11,5 cm.</w:t>
                  </w:r>
                </w:p>
              </w:tc>
            </w:tr>
            <w:tr w:rsidR="003E3820" w:rsidRPr="003E3820" w14:paraId="2DCB86E0" w14:textId="77777777" w:rsidTr="00EF1A7F">
              <w:trPr>
                <w:cantSplit/>
                <w:trHeight w:val="136"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44E32B8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76FCB267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Możliwość instalacji pompy w stacji dokującej:</w:t>
                  </w:r>
                </w:p>
                <w:p w14:paraId="57551978" w14:textId="77777777" w:rsidR="003E3820" w:rsidRPr="003E3820" w:rsidRDefault="003E3820" w:rsidP="003E3820">
                  <w:pPr>
                    <w:numPr>
                      <w:ilvl w:val="0"/>
                      <w:numId w:val="23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zatrzaskowe mocowanie z automatyczną blokadą, bez konieczności przykręcania,</w:t>
                  </w:r>
                </w:p>
                <w:p w14:paraId="76BEFAC4" w14:textId="77777777" w:rsidR="003E3820" w:rsidRPr="003E3820" w:rsidRDefault="003E3820" w:rsidP="003E3820">
                  <w:pPr>
                    <w:numPr>
                      <w:ilvl w:val="0"/>
                      <w:numId w:val="23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alarm nieprawidłowego mocowania,</w:t>
                  </w:r>
                </w:p>
                <w:p w14:paraId="17A719CE" w14:textId="77777777" w:rsidR="003E3820" w:rsidRPr="003E3820" w:rsidRDefault="003E3820" w:rsidP="003E3820">
                  <w:pPr>
                    <w:numPr>
                      <w:ilvl w:val="0"/>
                      <w:numId w:val="23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pompy mocowane niezależnie, jedna nad drugą, </w:t>
                  </w:r>
                </w:p>
                <w:p w14:paraId="0095BD32" w14:textId="77777777" w:rsidR="003E3820" w:rsidRPr="003E3820" w:rsidRDefault="003E3820" w:rsidP="003E3820">
                  <w:pPr>
                    <w:numPr>
                      <w:ilvl w:val="0"/>
                      <w:numId w:val="23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automatyczne przyłączenie zasilania ze stacji dokującej,</w:t>
                  </w:r>
                </w:p>
                <w:p w14:paraId="0B87D3FA" w14:textId="77777777" w:rsidR="003E3820" w:rsidRPr="003E3820" w:rsidRDefault="003E3820" w:rsidP="003E3820">
                  <w:pPr>
                    <w:numPr>
                      <w:ilvl w:val="0"/>
                      <w:numId w:val="23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automatyczne przyłączenie portu komunikacyjnego ze stacji dokującej,</w:t>
                  </w:r>
                </w:p>
                <w:p w14:paraId="74DBC2C2" w14:textId="77777777" w:rsidR="003E3820" w:rsidRPr="003E3820" w:rsidRDefault="003E3820" w:rsidP="003E3820">
                  <w:pPr>
                    <w:numPr>
                      <w:ilvl w:val="0"/>
                      <w:numId w:val="23"/>
                    </w:numPr>
                    <w:ind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świetlna sygnalizacja stanu pomp: infuzja, alarm, STOP.</w:t>
                  </w:r>
                </w:p>
              </w:tc>
            </w:tr>
            <w:tr w:rsidR="003E3820" w:rsidRPr="003E3820" w14:paraId="5401D861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401FAF1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0B04D8E7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Mocowanie pojedynczej pompy do statywów lub pionowych kolumn niewymagające dołączenia jakichkolwiek części, w szczególności uchwytu mocującego, po bezpośrednim wyjęciu pompy z stacji dokującej.</w:t>
                  </w:r>
                </w:p>
              </w:tc>
            </w:tr>
            <w:tr w:rsidR="003E3820" w:rsidRPr="003E3820" w14:paraId="2D6ABB21" w14:textId="77777777" w:rsidTr="00EF1A7F">
              <w:trPr>
                <w:cantSplit/>
                <w:trHeight w:val="136"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65D6DF7F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7F48F84E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Mocowanie pomp w stacji dokującej niewymagające odłączenia jakichkolwiek części, w szczególności uchwytu mocującego, po bezpośrednim zdjęciu pompy ze statywu.</w:t>
                  </w:r>
                </w:p>
              </w:tc>
            </w:tr>
            <w:tr w:rsidR="003E3820" w:rsidRPr="003E3820" w14:paraId="1950E227" w14:textId="77777777" w:rsidTr="00EF1A7F">
              <w:trPr>
                <w:cantSplit/>
                <w:trHeight w:val="136"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2999EF4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0A73D8CD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Uchwyt do przenoszenia pompy na stałe związany z pompą, niewymagający odłączania przy mocowaniu pomp w stacjach dokujących.</w:t>
                  </w:r>
                </w:p>
              </w:tc>
            </w:tr>
            <w:tr w:rsidR="003E3820" w:rsidRPr="003E3820" w14:paraId="7CF9027A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4F00B60D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955004A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Możliwość komunikacji pomp umieszczonych w stacjach dokujących wyposażonych w </w:t>
                  </w:r>
                  <w:proofErr w:type="spellStart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interface</w:t>
                  </w:r>
                  <w:proofErr w:type="spellEnd"/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 xml:space="preserve"> LAN z oprogramowaniem zewnętrznym.</w:t>
                  </w:r>
                </w:p>
              </w:tc>
            </w:tr>
            <w:tr w:rsidR="003E3820" w:rsidRPr="003E3820" w14:paraId="653E9736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77E0FC3A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0D392B4B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Historia infuzji – możliwość zapamiętania min. 2000 pełnych infuzji.</w:t>
                  </w:r>
                </w:p>
              </w:tc>
            </w:tr>
            <w:tr w:rsidR="003E3820" w:rsidRPr="003E3820" w14:paraId="1BF8E67E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2D3BF0F3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F975731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Klasa ochrony II, typ CF, odporność na defibrylację, stopień ochrony obudowy IP22.</w:t>
                  </w:r>
                </w:p>
              </w:tc>
            </w:tr>
            <w:tr w:rsidR="003E3820" w:rsidRPr="003E3820" w14:paraId="0EED70C3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36AF34A2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7A8301EA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Zasilanie pomp mocowanych poza stacją dokującą bezpośrednio z sieci energetycznej.</w:t>
                  </w:r>
                </w:p>
              </w:tc>
            </w:tr>
            <w:tr w:rsidR="003E3820" w:rsidRPr="003E3820" w14:paraId="5BD5A370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460B9AF8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644E36D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bCs/>
                      <w:sz w:val="24"/>
                      <w:szCs w:val="24"/>
                    </w:rPr>
                    <w:t>Czas pracy z akumulatora 15 h przy infuzji 25 ml/h.</w:t>
                  </w:r>
                </w:p>
              </w:tc>
            </w:tr>
            <w:tr w:rsidR="003E3820" w:rsidRPr="003E3820" w14:paraId="75C473AD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2DEBED89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F045F2F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Czas ładowania akumulatora do 100% po pełnym rozładowaniu – do 5 h.</w:t>
                  </w:r>
                </w:p>
              </w:tc>
            </w:tr>
            <w:tr w:rsidR="003E3820" w:rsidRPr="003E3820" w14:paraId="37E022E0" w14:textId="77777777" w:rsidTr="00EF1A7F">
              <w:trPr>
                <w:cantSplit/>
              </w:trPr>
              <w:tc>
                <w:tcPr>
                  <w:tcW w:w="6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14:paraId="0C969961" w14:textId="77777777" w:rsidR="003E3820" w:rsidRPr="003E3820" w:rsidRDefault="003E3820" w:rsidP="00EF1A7F">
                  <w:pPr>
                    <w:numPr>
                      <w:ilvl w:val="0"/>
                      <w:numId w:val="17"/>
                    </w:numPr>
                    <w:ind w:right="-72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0886D683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Waga 2,39 kg.</w:t>
                  </w:r>
                </w:p>
              </w:tc>
            </w:tr>
          </w:tbl>
          <w:p w14:paraId="2CA6C990" w14:textId="77777777" w:rsid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>Odpowiedź: Zgodnie z SWZ.</w:t>
            </w:r>
          </w:p>
          <w:p w14:paraId="36F15D70" w14:textId="77777777" w:rsidR="00EF1A7F" w:rsidRPr="003E3820" w:rsidRDefault="00EF1A7F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8F5928" w14:textId="77777777" w:rsidR="003E3820" w:rsidRPr="003E3820" w:rsidRDefault="003E3820" w:rsidP="003E3820">
            <w:pPr>
              <w:numPr>
                <w:ilvl w:val="0"/>
                <w:numId w:val="9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>Zadanie nr 2: Dot. parametru nr 117-128 Załącznika nr 2b do SWZ – Czy Zamawiający dopuszcza stacje dokujące o poniższych parametrach (zamiast parametrów opisanych pod nr 117-128 Załącznika nr 2b do SWZ):</w:t>
            </w:r>
          </w:p>
          <w:tbl>
            <w:tblPr>
              <w:tblW w:w="9089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06"/>
              <w:gridCol w:w="8283"/>
            </w:tblGrid>
            <w:tr w:rsidR="003E3820" w:rsidRPr="003E3820" w14:paraId="18A53D01" w14:textId="77777777" w:rsidTr="00EF1A7F">
              <w:trPr>
                <w:cantSplit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BFDB7" w14:textId="77777777" w:rsidR="003E3820" w:rsidRPr="003E3820" w:rsidRDefault="003E3820" w:rsidP="003E3820">
                  <w:pPr>
                    <w:numPr>
                      <w:ilvl w:val="0"/>
                      <w:numId w:val="24"/>
                    </w:numPr>
                    <w:ind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21396F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Stacja dokująca umożliwiająca obsługę 8 pomp</w:t>
                  </w:r>
                </w:p>
              </w:tc>
            </w:tr>
            <w:tr w:rsidR="003E3820" w:rsidRPr="003E3820" w14:paraId="66878175" w14:textId="77777777" w:rsidTr="00EF1A7F">
              <w:trPr>
                <w:cantSplit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21580" w14:textId="77777777" w:rsidR="003E3820" w:rsidRPr="003E3820" w:rsidRDefault="003E3820" w:rsidP="003E3820">
                  <w:pPr>
                    <w:numPr>
                      <w:ilvl w:val="0"/>
                      <w:numId w:val="24"/>
                    </w:numPr>
                    <w:ind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9F8394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Obudowa stacji wykonana z tworzywa</w:t>
                  </w:r>
                </w:p>
              </w:tc>
            </w:tr>
            <w:tr w:rsidR="003E3820" w:rsidRPr="003E3820" w14:paraId="45878DC0" w14:textId="77777777" w:rsidTr="00EF1A7F">
              <w:trPr>
                <w:cantSplit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E4449" w14:textId="77777777" w:rsidR="003E3820" w:rsidRPr="003E3820" w:rsidRDefault="003E3820" w:rsidP="003E3820">
                  <w:pPr>
                    <w:numPr>
                      <w:ilvl w:val="0"/>
                      <w:numId w:val="24"/>
                    </w:numPr>
                    <w:ind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0E9C1B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Waga stacji do 6,1  kg</w:t>
                  </w:r>
                </w:p>
              </w:tc>
            </w:tr>
            <w:tr w:rsidR="003E3820" w:rsidRPr="003E3820" w14:paraId="43EE7960" w14:textId="77777777" w:rsidTr="00EF1A7F">
              <w:trPr>
                <w:cantSplit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5E5B3" w14:textId="77777777" w:rsidR="003E3820" w:rsidRPr="003E3820" w:rsidRDefault="003E3820" w:rsidP="003E3820">
                  <w:pPr>
                    <w:numPr>
                      <w:ilvl w:val="0"/>
                      <w:numId w:val="24"/>
                    </w:numPr>
                    <w:ind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9F3E6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Mocowanie stacji do pionowych rur, kolumn</w:t>
                  </w:r>
                </w:p>
              </w:tc>
            </w:tr>
            <w:tr w:rsidR="003E3820" w:rsidRPr="003E3820" w14:paraId="12BA69A1" w14:textId="77777777" w:rsidTr="00EF1A7F">
              <w:trPr>
                <w:cantSplit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321E8" w14:textId="77777777" w:rsidR="003E3820" w:rsidRPr="003E3820" w:rsidRDefault="003E3820" w:rsidP="003E3820">
                  <w:pPr>
                    <w:numPr>
                      <w:ilvl w:val="0"/>
                      <w:numId w:val="24"/>
                    </w:numPr>
                    <w:ind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288671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Zasilanie 230 V AC 50Hz</w:t>
                  </w:r>
                </w:p>
              </w:tc>
            </w:tr>
            <w:tr w:rsidR="003E3820" w:rsidRPr="003E3820" w14:paraId="46DC3A2A" w14:textId="77777777" w:rsidTr="00EF1A7F">
              <w:trPr>
                <w:cantSplit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31165" w14:textId="77777777" w:rsidR="003E3820" w:rsidRPr="003E3820" w:rsidRDefault="003E3820" w:rsidP="003E3820">
                  <w:pPr>
                    <w:numPr>
                      <w:ilvl w:val="0"/>
                      <w:numId w:val="24"/>
                    </w:numPr>
                    <w:ind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6F033F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System szybkiego mocowania pomp w stacji dokującej – bez konieczności demontażu elementów pompy</w:t>
                  </w:r>
                </w:p>
              </w:tc>
            </w:tr>
            <w:tr w:rsidR="003E3820" w:rsidRPr="003E3820" w14:paraId="5BBD092C" w14:textId="77777777" w:rsidTr="00EF1A7F">
              <w:trPr>
                <w:cantSplit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03288" w14:textId="77777777" w:rsidR="003E3820" w:rsidRPr="003E3820" w:rsidRDefault="003E3820" w:rsidP="003E3820">
                  <w:pPr>
                    <w:numPr>
                      <w:ilvl w:val="0"/>
                      <w:numId w:val="24"/>
                    </w:numPr>
                    <w:ind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8F33A5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Możliwość szybkiego wyjęcia ze stacji każdej (dowolnej) pompy</w:t>
                  </w:r>
                </w:p>
              </w:tc>
            </w:tr>
            <w:tr w:rsidR="003E3820" w:rsidRPr="003E3820" w14:paraId="49956202" w14:textId="77777777" w:rsidTr="00EF1A7F">
              <w:trPr>
                <w:cantSplit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5BAB7" w14:textId="77777777" w:rsidR="003E3820" w:rsidRPr="003E3820" w:rsidRDefault="003E3820" w:rsidP="003E3820">
                  <w:pPr>
                    <w:numPr>
                      <w:ilvl w:val="0"/>
                      <w:numId w:val="24"/>
                    </w:numPr>
                    <w:ind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A9079A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Zasilanie pomp ze stacji dokującej – automatyczne przyłączenie zasilania po włożeniu pompy</w:t>
                  </w:r>
                </w:p>
              </w:tc>
            </w:tr>
            <w:tr w:rsidR="003E3820" w:rsidRPr="003E3820" w14:paraId="1B8161E4" w14:textId="77777777" w:rsidTr="00EF1A7F">
              <w:trPr>
                <w:cantSplit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DB003" w14:textId="77777777" w:rsidR="003E3820" w:rsidRPr="003E3820" w:rsidRDefault="003E3820" w:rsidP="003E3820">
                  <w:pPr>
                    <w:numPr>
                      <w:ilvl w:val="0"/>
                      <w:numId w:val="24"/>
                    </w:numPr>
                    <w:ind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B608EF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Stacja wyposażona w sygnalizację świetlną, alarmową</w:t>
                  </w:r>
                </w:p>
              </w:tc>
            </w:tr>
            <w:tr w:rsidR="003E3820" w:rsidRPr="003E3820" w14:paraId="4FC8F15A" w14:textId="77777777" w:rsidTr="00EF1A7F">
              <w:trPr>
                <w:cantSplit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520A0" w14:textId="77777777" w:rsidR="003E3820" w:rsidRPr="003E3820" w:rsidRDefault="003E3820" w:rsidP="003E3820">
                  <w:pPr>
                    <w:numPr>
                      <w:ilvl w:val="0"/>
                      <w:numId w:val="24"/>
                    </w:numPr>
                    <w:ind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1167D3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Przyłączanie stacji dokujących do systemu informatycznego szpitala za pomocą sieci Ethernet.</w:t>
                  </w:r>
                </w:p>
              </w:tc>
            </w:tr>
            <w:tr w:rsidR="003E3820" w:rsidRPr="003E3820" w14:paraId="21D412BA" w14:textId="77777777" w:rsidTr="00EF1A7F">
              <w:trPr>
                <w:cantSplit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FF285" w14:textId="77777777" w:rsidR="003E3820" w:rsidRPr="003E3820" w:rsidRDefault="003E3820" w:rsidP="003E3820">
                  <w:pPr>
                    <w:numPr>
                      <w:ilvl w:val="0"/>
                      <w:numId w:val="24"/>
                    </w:numPr>
                    <w:ind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67B694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Stacja posiadająca uchwyt do swobodnego przenoszenia</w:t>
                  </w:r>
                </w:p>
              </w:tc>
            </w:tr>
            <w:tr w:rsidR="003E3820" w:rsidRPr="003E3820" w14:paraId="40551C88" w14:textId="77777777" w:rsidTr="00EF1A7F">
              <w:trPr>
                <w:cantSplit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F1D92" w14:textId="77777777" w:rsidR="003E3820" w:rsidRPr="003E3820" w:rsidRDefault="003E3820" w:rsidP="003E3820">
                  <w:pPr>
                    <w:numPr>
                      <w:ilvl w:val="0"/>
                      <w:numId w:val="24"/>
                    </w:numPr>
                    <w:ind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7E4621" w14:textId="77777777" w:rsidR="003E3820" w:rsidRPr="003E3820" w:rsidRDefault="003E3820" w:rsidP="003E3820">
                  <w:pPr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3820">
                    <w:rPr>
                      <w:rFonts w:ascii="Arial" w:hAnsi="Arial" w:cs="Arial"/>
                      <w:sz w:val="24"/>
                      <w:szCs w:val="24"/>
                    </w:rPr>
                    <w:t>Stacja wraz z wysięgnikiem do zawieszania pojemników z  płynami infuzyjnymi</w:t>
                  </w:r>
                </w:p>
              </w:tc>
            </w:tr>
          </w:tbl>
          <w:p w14:paraId="1C345E42" w14:textId="77777777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820">
              <w:rPr>
                <w:rFonts w:ascii="Arial" w:hAnsi="Arial" w:cs="Arial"/>
                <w:sz w:val="24"/>
                <w:szCs w:val="24"/>
              </w:rPr>
              <w:t>Odpowiedź: Zgodnie z SWZ.</w:t>
            </w:r>
          </w:p>
          <w:bookmarkEnd w:id="1"/>
          <w:p w14:paraId="2010BD14" w14:textId="77777777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5B1E7E" w14:textId="022CB43D" w:rsidR="003E3820" w:rsidRPr="003E3820" w:rsidRDefault="003E3820" w:rsidP="003E382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6A20FC2" w14:textId="77777777" w:rsidR="00BE7BFD" w:rsidRPr="003E3820" w:rsidRDefault="00BE7BFD" w:rsidP="003E3820">
      <w:pPr>
        <w:jc w:val="both"/>
        <w:rPr>
          <w:rFonts w:ascii="Arial" w:hAnsi="Arial" w:cs="Arial"/>
          <w:sz w:val="22"/>
          <w:szCs w:val="22"/>
        </w:rPr>
      </w:pPr>
    </w:p>
    <w:p w14:paraId="2243611E" w14:textId="77777777" w:rsidR="006D4AB3" w:rsidRDefault="006D4AB3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3E3820">
        <w:rPr>
          <w:rFonts w:ascii="Arial" w:hAnsi="Arial" w:cs="Arial"/>
          <w:sz w:val="24"/>
          <w:szCs w:val="24"/>
        </w:rPr>
        <w:t>Zamawiający</w:t>
      </w:r>
    </w:p>
    <w:p w14:paraId="46FBAEA1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4F2DD53" w14:textId="6541A777" w:rsidR="006D6797" w:rsidRPr="006D6797" w:rsidRDefault="006D6797" w:rsidP="006D6797">
      <w:pPr>
        <w:pStyle w:val="Tekstpodstawowy"/>
        <w:jc w:val="right"/>
        <w:rPr>
          <w:rFonts w:ascii="Arial" w:hAnsi="Arial" w:cs="Arial"/>
          <w:i/>
          <w:sz w:val="24"/>
          <w:szCs w:val="24"/>
        </w:rPr>
      </w:pPr>
      <w:r w:rsidRPr="006D6797">
        <w:rPr>
          <w:rFonts w:ascii="Arial" w:hAnsi="Arial" w:cs="Arial"/>
          <w:i/>
          <w:sz w:val="24"/>
          <w:szCs w:val="24"/>
        </w:rPr>
        <w:t xml:space="preserve">/-/ </w:t>
      </w:r>
      <w:r>
        <w:rPr>
          <w:rFonts w:ascii="Arial" w:hAnsi="Arial" w:cs="Arial"/>
          <w:i/>
          <w:sz w:val="24"/>
          <w:szCs w:val="24"/>
        </w:rPr>
        <w:t>I</w:t>
      </w:r>
      <w:r w:rsidRPr="006D6797">
        <w:rPr>
          <w:rFonts w:ascii="Arial" w:hAnsi="Arial" w:cs="Arial"/>
          <w:i/>
          <w:sz w:val="24"/>
          <w:szCs w:val="24"/>
        </w:rPr>
        <w:t xml:space="preserve"> Z-c</w:t>
      </w:r>
      <w:r>
        <w:rPr>
          <w:rFonts w:ascii="Arial" w:hAnsi="Arial" w:cs="Arial"/>
          <w:i/>
          <w:sz w:val="24"/>
          <w:szCs w:val="24"/>
        </w:rPr>
        <w:t>a</w:t>
      </w:r>
      <w:r w:rsidRPr="006D6797">
        <w:rPr>
          <w:rFonts w:ascii="Arial" w:hAnsi="Arial" w:cs="Arial"/>
          <w:i/>
          <w:sz w:val="24"/>
          <w:szCs w:val="24"/>
        </w:rPr>
        <w:t xml:space="preserve"> Dyrektora ds. Administracyjnych</w:t>
      </w:r>
    </w:p>
    <w:p w14:paraId="04219817" w14:textId="77777777" w:rsidR="006D6797" w:rsidRPr="006D6797" w:rsidRDefault="006D6797" w:rsidP="006D6797">
      <w:pPr>
        <w:pStyle w:val="Tekstpodstawowy"/>
        <w:jc w:val="right"/>
        <w:rPr>
          <w:rFonts w:ascii="Arial" w:hAnsi="Arial" w:cs="Arial"/>
          <w:i/>
          <w:sz w:val="24"/>
          <w:szCs w:val="24"/>
        </w:rPr>
      </w:pPr>
      <w:r w:rsidRPr="006D6797">
        <w:rPr>
          <w:rFonts w:ascii="Arial" w:hAnsi="Arial" w:cs="Arial"/>
          <w:i/>
          <w:sz w:val="24"/>
          <w:szCs w:val="24"/>
        </w:rPr>
        <w:t>Krystyna Piątkowska</w:t>
      </w:r>
    </w:p>
    <w:p w14:paraId="4F76F20D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79024AF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1951D7B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411F7AC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8170EAF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78D8DCC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1296C98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BE48DCC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02FCDD0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84869AD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AE8E39A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D581C57" w14:textId="77777777" w:rsidR="006D6797" w:rsidRDefault="006D6797" w:rsidP="003E382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6D679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AFE90" w14:textId="77777777" w:rsidR="00131507" w:rsidRDefault="00131507">
      <w:r>
        <w:separator/>
      </w:r>
    </w:p>
  </w:endnote>
  <w:endnote w:type="continuationSeparator" w:id="0">
    <w:p w14:paraId="34AE7DBF" w14:textId="77777777" w:rsidR="00131507" w:rsidRDefault="00131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92AF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D24FF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B55E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1DA4C7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92EB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01B0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E829E6" w14:textId="77777777" w:rsidR="006D4AB3" w:rsidRDefault="006D4AB3">
    <w:pPr>
      <w:pStyle w:val="Stopka"/>
      <w:tabs>
        <w:tab w:val="clear" w:pos="4536"/>
        <w:tab w:val="left" w:pos="6237"/>
      </w:tabs>
    </w:pPr>
  </w:p>
  <w:p w14:paraId="269C21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4DC40" w14:textId="77777777" w:rsidR="00131507" w:rsidRDefault="00131507">
      <w:r>
        <w:separator/>
      </w:r>
    </w:p>
  </w:footnote>
  <w:footnote w:type="continuationSeparator" w:id="0">
    <w:p w14:paraId="74B1BA08" w14:textId="77777777" w:rsidR="00131507" w:rsidRDefault="00131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08F4C" w14:textId="77777777" w:rsidR="00447C8D" w:rsidRDefault="00447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F8BD3" w14:textId="77777777" w:rsidR="00447C8D" w:rsidRDefault="00447C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B3CBB" w14:textId="77777777" w:rsidR="00447C8D" w:rsidRDefault="00447C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C122BBB8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sz w:val="22"/>
        <w:szCs w:val="22"/>
      </w:rPr>
    </w:lvl>
  </w:abstractNum>
  <w:abstractNum w:abstractNumId="1" w15:restartNumberingAfterBreak="0">
    <w:nsid w:val="0BC11F09"/>
    <w:multiLevelType w:val="hybridMultilevel"/>
    <w:tmpl w:val="226E4A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574"/>
    <w:multiLevelType w:val="hybridMultilevel"/>
    <w:tmpl w:val="0234E0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946504"/>
    <w:multiLevelType w:val="hybridMultilevel"/>
    <w:tmpl w:val="1C343684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2D73A17"/>
    <w:multiLevelType w:val="hybridMultilevel"/>
    <w:tmpl w:val="9446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C12A4"/>
    <w:multiLevelType w:val="hybridMultilevel"/>
    <w:tmpl w:val="303E10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0566D"/>
    <w:multiLevelType w:val="hybridMultilevel"/>
    <w:tmpl w:val="F8AC938C"/>
    <w:lvl w:ilvl="0" w:tplc="C8725332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4AE7C39"/>
    <w:multiLevelType w:val="hybridMultilevel"/>
    <w:tmpl w:val="D362D9E8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FC3270"/>
    <w:multiLevelType w:val="hybridMultilevel"/>
    <w:tmpl w:val="7D689A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C1B6402"/>
    <w:multiLevelType w:val="hybridMultilevel"/>
    <w:tmpl w:val="BF746A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36570D"/>
    <w:multiLevelType w:val="hybridMultilevel"/>
    <w:tmpl w:val="EBF24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0D5E0E"/>
    <w:multiLevelType w:val="hybridMultilevel"/>
    <w:tmpl w:val="14E25F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7A44E89"/>
    <w:multiLevelType w:val="hybridMultilevel"/>
    <w:tmpl w:val="36CA7650"/>
    <w:lvl w:ilvl="0" w:tplc="440E2EA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BD465B8"/>
    <w:multiLevelType w:val="hybridMultilevel"/>
    <w:tmpl w:val="13C81BE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ED1636D"/>
    <w:multiLevelType w:val="hybridMultilevel"/>
    <w:tmpl w:val="4BBCFB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7550235">
    <w:abstractNumId w:val="14"/>
  </w:num>
  <w:num w:numId="2" w16cid:durableId="1428961487">
    <w:abstractNumId w:val="22"/>
  </w:num>
  <w:num w:numId="3" w16cid:durableId="743263287">
    <w:abstractNumId w:val="10"/>
  </w:num>
  <w:num w:numId="4" w16cid:durableId="640967114">
    <w:abstractNumId w:val="20"/>
  </w:num>
  <w:num w:numId="5" w16cid:durableId="1118717732">
    <w:abstractNumId w:val="4"/>
  </w:num>
  <w:num w:numId="6" w16cid:durableId="1812676789">
    <w:abstractNumId w:val="8"/>
  </w:num>
  <w:num w:numId="7" w16cid:durableId="609245295">
    <w:abstractNumId w:val="18"/>
  </w:num>
  <w:num w:numId="8" w16cid:durableId="21193737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446975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86189668">
    <w:abstractNumId w:val="0"/>
    <w:lvlOverride w:ilvl="0">
      <w:startOverride w:val="1"/>
    </w:lvlOverride>
  </w:num>
  <w:num w:numId="11" w16cid:durableId="2068719847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382830859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157458479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112289268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053121443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92546074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5448720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43918682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136409070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73473979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204455062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47652888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39597709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18255378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507"/>
    <w:rsid w:val="00031374"/>
    <w:rsid w:val="000A1097"/>
    <w:rsid w:val="000E2A8F"/>
    <w:rsid w:val="0012774F"/>
    <w:rsid w:val="00131507"/>
    <w:rsid w:val="00144B7A"/>
    <w:rsid w:val="00180C6E"/>
    <w:rsid w:val="0029606A"/>
    <w:rsid w:val="003E3820"/>
    <w:rsid w:val="00447C8D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D6797"/>
    <w:rsid w:val="006F3B81"/>
    <w:rsid w:val="007D7198"/>
    <w:rsid w:val="00843A88"/>
    <w:rsid w:val="00864A4B"/>
    <w:rsid w:val="00870F9F"/>
    <w:rsid w:val="008804B6"/>
    <w:rsid w:val="00897AB0"/>
    <w:rsid w:val="008A3553"/>
    <w:rsid w:val="008B15BC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6278"/>
    <w:rsid w:val="00EF1A7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5EBAB"/>
  <w15:chartTrackingRefBased/>
  <w15:docId w15:val="{C567DAA1-EA02-4DE6-9E05-7E8C73C1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3851</Words>
  <Characters>23909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2025-06-13T09:25:00Z</cp:lastPrinted>
  <dcterms:created xsi:type="dcterms:W3CDTF">2025-06-13T09:26:00Z</dcterms:created>
  <dcterms:modified xsi:type="dcterms:W3CDTF">2025-06-13T09:26:00Z</dcterms:modified>
</cp:coreProperties>
</file>